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E6F87" w14:textId="30C2874F" w:rsidR="007E7A05" w:rsidRPr="00E41315" w:rsidRDefault="007E7A05" w:rsidP="00BE66B1">
      <w:pPr>
        <w:jc w:val="both"/>
        <w:rPr>
          <w:rFonts w:ascii="Century Gothic" w:hAnsi="Century Gothic"/>
          <w:b/>
          <w:bCs/>
          <w:sz w:val="20"/>
          <w:szCs w:val="20"/>
          <w:lang w:eastAsia="es-EC"/>
        </w:rPr>
      </w:pPr>
      <w:r w:rsidRPr="00E41315">
        <w:rPr>
          <w:rFonts w:ascii="Century Gothic" w:hAnsi="Century Gothic"/>
          <w:b/>
          <w:bCs/>
          <w:sz w:val="20"/>
          <w:szCs w:val="20"/>
          <w:lang w:eastAsia="es-EC"/>
        </w:rPr>
        <w:t>CONVENIO DE COOPERACIÓN Y DONACIÓN DE BIENES</w:t>
      </w:r>
      <w:r w:rsidR="00BE66B1" w:rsidRPr="00E41315">
        <w:rPr>
          <w:rFonts w:ascii="Century Gothic" w:hAnsi="Century Gothic"/>
          <w:b/>
          <w:bCs/>
          <w:sz w:val="20"/>
          <w:szCs w:val="20"/>
          <w:lang w:eastAsia="es-EC"/>
        </w:rPr>
        <w:t xml:space="preserve"> </w:t>
      </w:r>
      <w:r w:rsidRPr="00E41315">
        <w:rPr>
          <w:rFonts w:ascii="Century Gothic" w:hAnsi="Century Gothic"/>
          <w:b/>
          <w:bCs/>
          <w:kern w:val="0"/>
          <w:sz w:val="20"/>
          <w:szCs w:val="20"/>
          <w:lang w:eastAsia="es-EC"/>
        </w:rPr>
        <w:t>ENTRE EL GOBIERNO AUTÓNOMO DESCENTRALIZADO MUNICIPAL DEL CANTÓN LA JOYA DE LOS SACHAS Y LA ASOCIACIÓN PAKARICHIK MAMAKUNA DE SACHA</w:t>
      </w:r>
    </w:p>
    <w:p w14:paraId="62DC1BCE" w14:textId="58300504" w:rsidR="007E7A05" w:rsidRPr="00E41315" w:rsidRDefault="00BE66B1" w:rsidP="00BE66B1">
      <w:pPr>
        <w:jc w:val="both"/>
        <w:rPr>
          <w:rFonts w:ascii="Century Gothic" w:hAnsi="Century Gothic"/>
          <w:kern w:val="0"/>
          <w:sz w:val="20"/>
          <w:szCs w:val="20"/>
          <w:lang w:eastAsia="es-EC"/>
        </w:rPr>
      </w:pPr>
      <w:r w:rsidRPr="00E41315">
        <w:rPr>
          <w:rFonts w:ascii="Century Gothic" w:hAnsi="Century Gothic"/>
          <w:b/>
          <w:bCs/>
          <w:kern w:val="0"/>
          <w:sz w:val="20"/>
          <w:szCs w:val="20"/>
          <w:lang w:eastAsia="es-EC"/>
        </w:rPr>
        <w:t>COMPARECIENTES.-</w:t>
      </w:r>
      <w:r w:rsidRPr="00E41315">
        <w:rPr>
          <w:rFonts w:ascii="Century Gothic" w:hAnsi="Century Gothic"/>
          <w:kern w:val="0"/>
          <w:sz w:val="20"/>
          <w:szCs w:val="20"/>
          <w:lang w:eastAsia="es-EC"/>
        </w:rPr>
        <w:t xml:space="preserve"> </w:t>
      </w:r>
      <w:r w:rsidR="007E7A05" w:rsidRPr="00E41315">
        <w:rPr>
          <w:rFonts w:ascii="Century Gothic" w:hAnsi="Century Gothic"/>
          <w:kern w:val="0"/>
          <w:sz w:val="20"/>
          <w:szCs w:val="20"/>
          <w:lang w:eastAsia="es-EC"/>
        </w:rPr>
        <w:t xml:space="preserve">Comparecen a la celebración del presente Convenio, por una parte, el GOBIERNO AUTÓNOMO DESCENTRALIZADO MUNICIPAL DEL CANTÓN LA JOYA DE LOS SACHAS (GADMCJS), legalmente representado por </w:t>
      </w:r>
      <w:r w:rsidRPr="00E41315">
        <w:rPr>
          <w:rFonts w:ascii="Century Gothic" w:hAnsi="Century Gothic"/>
          <w:kern w:val="0"/>
          <w:sz w:val="20"/>
          <w:szCs w:val="20"/>
          <w:lang w:eastAsia="es-EC"/>
        </w:rPr>
        <w:t xml:space="preserve">la </w:t>
      </w:r>
      <w:r w:rsidRPr="00E41315">
        <w:rPr>
          <w:rFonts w:ascii="Century Gothic" w:hAnsi="Century Gothic"/>
          <w:sz w:val="20"/>
          <w:szCs w:val="20"/>
        </w:rPr>
        <w:t>Magister, Liseth Hinojosa, alcaldesa del GADMCJS</w:t>
      </w:r>
      <w:r w:rsidR="007E7A05" w:rsidRPr="00E41315">
        <w:rPr>
          <w:rFonts w:ascii="Century Gothic" w:hAnsi="Century Gothic"/>
          <w:kern w:val="0"/>
          <w:sz w:val="20"/>
          <w:szCs w:val="20"/>
          <w:lang w:eastAsia="es-EC"/>
        </w:rPr>
        <w:t>, en su calidad de Alcalde</w:t>
      </w:r>
      <w:r w:rsidRPr="00E41315">
        <w:rPr>
          <w:rFonts w:ascii="Century Gothic" w:hAnsi="Century Gothic"/>
          <w:kern w:val="0"/>
          <w:sz w:val="20"/>
          <w:szCs w:val="20"/>
          <w:lang w:eastAsia="es-EC"/>
        </w:rPr>
        <w:t>sa</w:t>
      </w:r>
      <w:r w:rsidR="007E7A05" w:rsidRPr="00E41315">
        <w:rPr>
          <w:rFonts w:ascii="Century Gothic" w:hAnsi="Century Gothic"/>
          <w:kern w:val="0"/>
          <w:sz w:val="20"/>
          <w:szCs w:val="20"/>
          <w:lang w:eastAsia="es-EC"/>
        </w:rPr>
        <w:t>, y por otra parte, la ASOCIACIÓN "PAKARICHIK MAMAKUNA" DE SACHA (LA ASOCIACIÓN), legalmente representada por la señora Gloria Grefa, en su calidad de Representante Legal para el periodo 2025-2027</w:t>
      </w:r>
      <w:r w:rsidRPr="00E41315">
        <w:rPr>
          <w:rFonts w:ascii="Century Gothic" w:hAnsi="Century Gothic"/>
          <w:kern w:val="0"/>
          <w:sz w:val="20"/>
          <w:szCs w:val="20"/>
          <w:lang w:eastAsia="es-EC"/>
        </w:rPr>
        <w:t>, quienes convienen en celebrar el presente convenio al tenor de las siguientes cláusulas:</w:t>
      </w:r>
    </w:p>
    <w:p w14:paraId="3123A832" w14:textId="3134CAAB"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 xml:space="preserve">CLÁUSULA PRIMERA. </w:t>
      </w:r>
      <w:r w:rsidR="00BE66B1" w:rsidRPr="00E41315">
        <w:rPr>
          <w:rFonts w:ascii="Century Gothic" w:hAnsi="Century Gothic"/>
          <w:b/>
          <w:bCs/>
          <w:kern w:val="0"/>
          <w:sz w:val="20"/>
          <w:szCs w:val="20"/>
          <w:lang w:eastAsia="es-EC"/>
        </w:rPr>
        <w:t>–</w:t>
      </w:r>
      <w:r w:rsidRPr="00E41315">
        <w:rPr>
          <w:rFonts w:ascii="Century Gothic" w:hAnsi="Century Gothic"/>
          <w:b/>
          <w:bCs/>
          <w:kern w:val="0"/>
          <w:sz w:val="20"/>
          <w:szCs w:val="20"/>
          <w:lang w:eastAsia="es-EC"/>
        </w:rPr>
        <w:t xml:space="preserve"> ANTECEDENTES</w:t>
      </w:r>
      <w:r w:rsidR="00BE66B1" w:rsidRPr="00E41315">
        <w:rPr>
          <w:rFonts w:ascii="Century Gothic" w:hAnsi="Century Gothic"/>
          <w:b/>
          <w:bCs/>
          <w:kern w:val="0"/>
          <w:sz w:val="20"/>
          <w:szCs w:val="20"/>
          <w:lang w:eastAsia="es-EC"/>
        </w:rPr>
        <w:t>:</w:t>
      </w:r>
    </w:p>
    <w:p w14:paraId="6E029BE1" w14:textId="77777777" w:rsidR="00BE66B1"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1.1. Mediante Oficio N°004-APMJS-2024 del 27 de noviembre de 2024, la </w:t>
      </w:r>
      <w:proofErr w:type="gramStart"/>
      <w:r w:rsidRPr="00E41315">
        <w:rPr>
          <w:rFonts w:ascii="Century Gothic" w:hAnsi="Century Gothic"/>
          <w:kern w:val="0"/>
          <w:sz w:val="20"/>
          <w:szCs w:val="20"/>
          <w:lang w:eastAsia="es-EC"/>
        </w:rPr>
        <w:t>Presidenta</w:t>
      </w:r>
      <w:proofErr w:type="gramEnd"/>
      <w:r w:rsidRPr="00E41315">
        <w:rPr>
          <w:rFonts w:ascii="Century Gothic" w:hAnsi="Century Gothic"/>
          <w:kern w:val="0"/>
          <w:sz w:val="20"/>
          <w:szCs w:val="20"/>
          <w:lang w:eastAsia="es-EC"/>
        </w:rPr>
        <w:t xml:space="preserve"> de LA ASOCIACIÓN, </w:t>
      </w:r>
      <w:proofErr w:type="spellStart"/>
      <w:r w:rsidRPr="00E41315">
        <w:rPr>
          <w:rFonts w:ascii="Century Gothic" w:hAnsi="Century Gothic"/>
          <w:kern w:val="0"/>
          <w:sz w:val="20"/>
          <w:szCs w:val="20"/>
          <w:lang w:eastAsia="es-EC"/>
        </w:rPr>
        <w:t>Bethy</w:t>
      </w:r>
      <w:proofErr w:type="spellEnd"/>
      <w:r w:rsidRPr="00E41315">
        <w:rPr>
          <w:rFonts w:ascii="Century Gothic" w:hAnsi="Century Gothic"/>
          <w:kern w:val="0"/>
          <w:sz w:val="20"/>
          <w:szCs w:val="20"/>
          <w:lang w:eastAsia="es-EC"/>
        </w:rPr>
        <w:t xml:space="preserve"> </w:t>
      </w:r>
      <w:proofErr w:type="spellStart"/>
      <w:r w:rsidRPr="00E41315">
        <w:rPr>
          <w:rFonts w:ascii="Century Gothic" w:hAnsi="Century Gothic"/>
          <w:kern w:val="0"/>
          <w:sz w:val="20"/>
          <w:szCs w:val="20"/>
          <w:lang w:eastAsia="es-EC"/>
        </w:rPr>
        <w:t>Huatatoca</w:t>
      </w:r>
      <w:proofErr w:type="spellEnd"/>
      <w:r w:rsidRPr="00E41315">
        <w:rPr>
          <w:rFonts w:ascii="Century Gothic" w:hAnsi="Century Gothic"/>
          <w:kern w:val="0"/>
          <w:sz w:val="20"/>
          <w:szCs w:val="20"/>
          <w:lang w:eastAsia="es-EC"/>
        </w:rPr>
        <w:t xml:space="preserve">, solicitó a la Alcaldesa del GADMCJS el apoyo para la implementación de Mochilas impermeables, linternas, botas, chalecos que identifiquen a la asociación y uniformes médicos. </w:t>
      </w:r>
    </w:p>
    <w:p w14:paraId="5BB9FE20" w14:textId="77777777" w:rsidR="00BE66B1"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1.2. Con Memorando Nro. GADMCJS-A-2024-7741-M-GD del 02 de diciembre de 2024, la Máxima Autoridad del GADMCJS dispuso atender lo solicitado. </w:t>
      </w:r>
    </w:p>
    <w:p w14:paraId="6AD854C2" w14:textId="77777777" w:rsidR="00BE66B1"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1.3. Con Memorando Nro. GADMCJS-DGTCDN-UN-2025-0199-M-GD del 06 de mayo de 2025, el </w:t>
      </w:r>
      <w:proofErr w:type="gramStart"/>
      <w:r w:rsidRPr="00E41315">
        <w:rPr>
          <w:rFonts w:ascii="Century Gothic" w:hAnsi="Century Gothic"/>
          <w:kern w:val="0"/>
          <w:sz w:val="20"/>
          <w:szCs w:val="20"/>
          <w:lang w:eastAsia="es-EC"/>
        </w:rPr>
        <w:t>Jefe</w:t>
      </w:r>
      <w:proofErr w:type="gramEnd"/>
      <w:r w:rsidRPr="00E41315">
        <w:rPr>
          <w:rFonts w:ascii="Century Gothic" w:hAnsi="Century Gothic"/>
          <w:kern w:val="0"/>
          <w:sz w:val="20"/>
          <w:szCs w:val="20"/>
          <w:lang w:eastAsia="es-EC"/>
        </w:rPr>
        <w:t xml:space="preserve"> de Nacionalidades dispuso la formulación del proyecto: "CONSERVACIÓN, PRESERVACIÓN Y PROMOCIÓN DEL PATRIMONIO CULTURAL INMATERIAL, MEDIANTE EL FORTALECIMIENTO A LA PARTERÍA Y MEDICINA ANCESTRAL DE LA NACIONALIDAD KICHWA DEL CANTÓN LA JOYA DE LOS SACHAS". </w:t>
      </w:r>
    </w:p>
    <w:p w14:paraId="7930DA0C" w14:textId="77777777" w:rsidR="00BE66B1"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1.4. Mediante Memorando Nro. GADMCJS-A-2025-2557-M-GD del 09 de mayo de 2025, el </w:t>
      </w:r>
      <w:proofErr w:type="gramStart"/>
      <w:r w:rsidRPr="00E41315">
        <w:rPr>
          <w:rFonts w:ascii="Century Gothic" w:hAnsi="Century Gothic"/>
          <w:kern w:val="0"/>
          <w:sz w:val="20"/>
          <w:szCs w:val="20"/>
          <w:lang w:eastAsia="es-EC"/>
        </w:rPr>
        <w:t>Alcalde</w:t>
      </w:r>
      <w:proofErr w:type="gramEnd"/>
      <w:r w:rsidRPr="00E41315">
        <w:rPr>
          <w:rFonts w:ascii="Century Gothic" w:hAnsi="Century Gothic"/>
          <w:kern w:val="0"/>
          <w:sz w:val="20"/>
          <w:szCs w:val="20"/>
          <w:lang w:eastAsia="es-EC"/>
        </w:rPr>
        <w:t xml:space="preserve"> Subrogante autorizó el proyecto para continuar con la etapa precontractual. </w:t>
      </w:r>
    </w:p>
    <w:p w14:paraId="7FB31082" w14:textId="77777777" w:rsidR="00BE66B1"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1.5. Con Compromisos Presupuestarios </w:t>
      </w:r>
      <w:proofErr w:type="spellStart"/>
      <w:r w:rsidRPr="00E41315">
        <w:rPr>
          <w:rFonts w:ascii="Century Gothic" w:hAnsi="Century Gothic"/>
          <w:kern w:val="0"/>
          <w:sz w:val="20"/>
          <w:szCs w:val="20"/>
          <w:lang w:eastAsia="es-EC"/>
        </w:rPr>
        <w:t>Nros</w:t>
      </w:r>
      <w:proofErr w:type="spellEnd"/>
      <w:r w:rsidRPr="00E41315">
        <w:rPr>
          <w:rFonts w:ascii="Century Gothic" w:hAnsi="Century Gothic"/>
          <w:kern w:val="0"/>
          <w:sz w:val="20"/>
          <w:szCs w:val="20"/>
          <w:lang w:eastAsia="es-EC"/>
        </w:rPr>
        <w:t xml:space="preserve">. 1598 y 1597, la Dirección Financiera certificó la disponibilidad de un total de $5.068,74 USD para la adquisición de equipos de protección personal y vestimenta para la ejecución del proyecto. </w:t>
      </w:r>
    </w:p>
    <w:p w14:paraId="2D20BD78" w14:textId="77777777" w:rsidR="00BE66B1"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1.6. El GADMCJS realizó la adquisición de los bienes mediante órdenes de compra de ínfima cuantía Nro. IC-UCP-GADMCJS-073-2025 (Vestimenta por $2.886,96) y Nro. IC-UCP-GADMCJS-074-2025 (Equipos de Protección Personal por $2.181,78). </w:t>
      </w:r>
    </w:p>
    <w:p w14:paraId="34575141" w14:textId="138D41C4"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1.7. Con Oficio </w:t>
      </w:r>
      <w:proofErr w:type="spellStart"/>
      <w:r w:rsidRPr="00E41315">
        <w:rPr>
          <w:rFonts w:ascii="Century Gothic" w:hAnsi="Century Gothic"/>
          <w:kern w:val="0"/>
          <w:sz w:val="20"/>
          <w:szCs w:val="20"/>
          <w:lang w:eastAsia="es-EC"/>
        </w:rPr>
        <w:t>N°</w:t>
      </w:r>
      <w:proofErr w:type="spellEnd"/>
      <w:r w:rsidRPr="00E41315">
        <w:rPr>
          <w:rFonts w:ascii="Century Gothic" w:hAnsi="Century Gothic"/>
          <w:kern w:val="0"/>
          <w:sz w:val="20"/>
          <w:szCs w:val="20"/>
          <w:lang w:eastAsia="es-EC"/>
        </w:rPr>
        <w:t xml:space="preserve"> ASSO-PM-2025-0014 del 16 de julio de 2025, la Sra. Gloria Grefa solicitó la firma de un convenio de cooperación en base a la propuesta del proyecto, en cumplimiento de la Resolución </w:t>
      </w:r>
      <w:proofErr w:type="spellStart"/>
      <w:r w:rsidRPr="00E41315">
        <w:rPr>
          <w:rFonts w:ascii="Century Gothic" w:hAnsi="Century Gothic"/>
          <w:kern w:val="0"/>
          <w:sz w:val="20"/>
          <w:szCs w:val="20"/>
          <w:lang w:eastAsia="es-EC"/>
        </w:rPr>
        <w:t>N°</w:t>
      </w:r>
      <w:proofErr w:type="spellEnd"/>
      <w:r w:rsidRPr="00E41315">
        <w:rPr>
          <w:rFonts w:ascii="Century Gothic" w:hAnsi="Century Gothic"/>
          <w:kern w:val="0"/>
          <w:sz w:val="20"/>
          <w:szCs w:val="20"/>
          <w:lang w:eastAsia="es-EC"/>
        </w:rPr>
        <w:t xml:space="preserve"> 073-C-GADMCJS-2023.</w:t>
      </w:r>
    </w:p>
    <w:p w14:paraId="14D501FC" w14:textId="01C067F1"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CLÁUSULA SEGUNDA. - BASE LEGAL</w:t>
      </w:r>
      <w:r w:rsidR="009A22E2" w:rsidRPr="00E41315">
        <w:rPr>
          <w:rFonts w:ascii="Century Gothic" w:hAnsi="Century Gothic"/>
          <w:b/>
          <w:bCs/>
          <w:kern w:val="0"/>
          <w:sz w:val="20"/>
          <w:szCs w:val="20"/>
          <w:lang w:eastAsia="es-EC"/>
        </w:rPr>
        <w:t>:</w:t>
      </w:r>
    </w:p>
    <w:p w14:paraId="4AB9CC14"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El presente convenio se fundamenta en las siguientes disposiciones:</w:t>
      </w:r>
    </w:p>
    <w:p w14:paraId="795F3944" w14:textId="523A98DA" w:rsidR="00E41315" w:rsidRPr="00E41315" w:rsidRDefault="00E41315" w:rsidP="00E41315">
      <w:pPr>
        <w:jc w:val="both"/>
        <w:rPr>
          <w:rFonts w:ascii="Century Gothic" w:hAnsi="Century Gothic"/>
          <w:b/>
          <w:bCs/>
          <w:sz w:val="20"/>
          <w:szCs w:val="20"/>
        </w:rPr>
      </w:pPr>
      <w:r w:rsidRPr="00E41315">
        <w:rPr>
          <w:rFonts w:ascii="Century Gothic" w:hAnsi="Century Gothic"/>
          <w:b/>
          <w:bCs/>
          <w:sz w:val="20"/>
          <w:szCs w:val="20"/>
        </w:rPr>
        <w:t>LA CONSTITUCIÓN DE LA REPÚBLICA DEL ECUADOR:</w:t>
      </w:r>
    </w:p>
    <w:p w14:paraId="5524ECCC"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21.- Las personas tienen derecho a construir y mantener su propia identidad cultural, a decidir sobre su pertenencia a una o varias comunidades culturales y a expresar dichas elecciones; a la libertad estética; a conocer la memoria histórica de sus culturas y a acceder a su patrimonio cultural; a difundir sus propias expresiones culturales y tener acceso a expresiones culturales diversas. </w:t>
      </w:r>
    </w:p>
    <w:p w14:paraId="049D3B22"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lastRenderedPageBreak/>
        <w:t xml:space="preserve">Art. 264.- Los gobiernos municipales tendrán las siguientes competencias exclusivas sin perjuicio de otras que determine la ley: 8. Preservar, mantener y difundir el patrimonio arquitectónico, cultural y natural del cantón y construir los espacios públicos para estos fines. </w:t>
      </w:r>
    </w:p>
    <w:p w14:paraId="1EF245D8"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El Art. 377 de la Constitución de la República, en cuanto a la cultura, dice: “El sistema nacional de cultura tiene como finalidad fortalecer la identidad nacional; proteger y promover la diversidad de las expresiones culturales; incentivar la libre creación artística y la producción, difusión, distribución y disfrute de bienes y servicios culturales; y salvaguardar la memoria social y el patrimonio cultural. Se garantiza el ejercicio pleno de los derechos culturales. </w:t>
      </w:r>
    </w:p>
    <w:p w14:paraId="4F6E35AD"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380.- Serán responsabilidades del Estado: 1. Velar, mediante políticas permanentes, por la identificación, protección, defensa, conservación, restauración, difusión y acrecentamiento del patrimonio cultural tangible e intangible, de la riqueza histórica, artística, lingüística y arqueológica, de la memoria colectiva y del 11 conjunto de valores y manifestaciones que configuran la identidad plurinacional, pluricultural y multiétnica del Ecuador. 6. Establecer incentivos y estímulos para que las personas, instituciones, empresas y medios de comunicación promuevan, apoyen, desarrollen y financien actividades culturales. 7. Garantizar la diversidad en la oferta cultural y promover la producción nacional de bienes culturales, así como su difusión masiva. 8. Garantizar los fondos suficientes y oportunos para la ejecución de la política cultural. Art. 383.- Garantiza el derecho de las personas y las colectividades al tiempo libre, la ampliación de las condiciones físicas, sociales y ambientales para su disfrute, y la promoción de actividades para el esparcimiento, descanso y desarrollo de la personalidad. </w:t>
      </w:r>
    </w:p>
    <w:p w14:paraId="520E0F41" w14:textId="4AD3C581" w:rsidR="00E41315" w:rsidRPr="00E41315" w:rsidRDefault="00E41315" w:rsidP="00E41315">
      <w:pPr>
        <w:jc w:val="both"/>
        <w:rPr>
          <w:rFonts w:ascii="Century Gothic" w:hAnsi="Century Gothic"/>
          <w:sz w:val="20"/>
          <w:szCs w:val="20"/>
        </w:rPr>
      </w:pPr>
      <w:r w:rsidRPr="00E41315">
        <w:rPr>
          <w:rFonts w:ascii="Century Gothic" w:hAnsi="Century Gothic"/>
          <w:b/>
          <w:bCs/>
          <w:sz w:val="20"/>
          <w:szCs w:val="20"/>
        </w:rPr>
        <w:t>CÓDIGO ORGÁNICO DE ORGANIZACIÓN TERRITORIAL, AUTONOMÍA Y DESCENTRALIZACIÓN</w:t>
      </w:r>
      <w:r w:rsidRPr="00E41315">
        <w:rPr>
          <w:rFonts w:ascii="Century Gothic" w:hAnsi="Century Gothic"/>
          <w:sz w:val="20"/>
          <w:szCs w:val="20"/>
        </w:rPr>
        <w:t>:</w:t>
      </w:r>
    </w:p>
    <w:p w14:paraId="006C0F8D"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3 </w:t>
      </w:r>
      <w:proofErr w:type="gramStart"/>
      <w:r w:rsidRPr="00E41315">
        <w:rPr>
          <w:rFonts w:ascii="Century Gothic" w:hAnsi="Century Gothic"/>
          <w:sz w:val="20"/>
          <w:szCs w:val="20"/>
        </w:rPr>
        <w:t>Principios.-</w:t>
      </w:r>
      <w:proofErr w:type="gramEnd"/>
      <w:r w:rsidRPr="00E41315">
        <w:rPr>
          <w:rFonts w:ascii="Century Gothic" w:hAnsi="Century Gothic"/>
          <w:sz w:val="20"/>
          <w:szCs w:val="20"/>
        </w:rPr>
        <w:t xml:space="preserve"> El ejercicio de la autoridad y las potestades públicas de los gobiernos autónomos se regirán por los siguientes principios: g) Participación ciudadana.- La participación es un derecho cuya titularidad y ejercicio corresponde a la ciudadanía. El ejercicio de este derecho será respetado, promovido y facilitado por todos los órganos del Estado de manera obligatoria, con el fin de garantizar la elaboración y adopción compartida de decisiones, entre los diferentes niveles de gobierno y la ciudadanía, así como la gestión compartida y el control social de planes, políticas, programas y proyectos públicos, el diseño y ejecución de presupuestos participativos de los gobiernos. En virtud de este principio, se garantizan además la transparencia y la rendición de cuentas, de acuerdo con la Constitución y la ley. Se aplicarán los principios de interculturalidad y plurinacionalidad, equidad de género, generacional, y se garantizarán los derechos colectivos de las comunidades, pueblos y nacionalidades, de conformidad con la Constitución, los instrumentos internacionales y la ley. h) Sustentabilidad del </w:t>
      </w:r>
      <w:proofErr w:type="gramStart"/>
      <w:r w:rsidRPr="00E41315">
        <w:rPr>
          <w:rFonts w:ascii="Century Gothic" w:hAnsi="Century Gothic"/>
          <w:sz w:val="20"/>
          <w:szCs w:val="20"/>
        </w:rPr>
        <w:t>desarrollo.-</w:t>
      </w:r>
      <w:proofErr w:type="gramEnd"/>
      <w:r w:rsidRPr="00E41315">
        <w:rPr>
          <w:rFonts w:ascii="Century Gothic" w:hAnsi="Century Gothic"/>
          <w:sz w:val="20"/>
          <w:szCs w:val="20"/>
        </w:rPr>
        <w:t xml:space="preserve"> Los gobiernos autónomos descentralizados priorizarán las potencialidades, capacidades y vocaciones de sus circunscripciones territoriales para impulsar el desarrollo y mejorar el bienestar de la población, e impulsarán el desarrollo territorial centrado en sus habitantes, su identidad cultural y valores comunitarios. La aplicación de este principio conlleva asumir una visión integral, asegurando los aspectos sociales, económicos, ambientales, culturales e institucionales, armonizados con el territorio y aportarán al desarrollo justo y equitativo de todo el país. </w:t>
      </w:r>
    </w:p>
    <w:p w14:paraId="4C9D4D05"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4.- Fines de los gobiernos autónomos descentralizados.- Dentro de sus respectivas circunscripciones territoriales son fines de los gobiernos autónomos descentralizados: e) </w:t>
      </w:r>
      <w:r w:rsidRPr="00E41315">
        <w:rPr>
          <w:rFonts w:ascii="Century Gothic" w:hAnsi="Century Gothic"/>
          <w:sz w:val="20"/>
          <w:szCs w:val="20"/>
        </w:rPr>
        <w:lastRenderedPageBreak/>
        <w:t xml:space="preserve">La protección y promoción de la diversidad cultural y el respeto a sus espacios de generación e intercambio; la recuperación, preservación y desarrollo de la memoria social y el patrimonio cultural; Art. 5, referente a la Autonomía, establece que "La autonomía política, administrativa y financiera de los gobiernos autónomos descentralizados y regímenes especiales prevista en la Constitución comprende el derecho y la capacidad efectiva de estos niveles de gobierno para regirse mediante normas y órganos de gobierno propios, en sus respectivas circunscripciones territoriales, bajo su responsabilidad, sin intervención de otro nivel de gobierno y en beneficio de sus habitantes". </w:t>
      </w:r>
    </w:p>
    <w:p w14:paraId="49A08685"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54.- </w:t>
      </w:r>
      <w:proofErr w:type="gramStart"/>
      <w:r w:rsidRPr="00E41315">
        <w:rPr>
          <w:rFonts w:ascii="Century Gothic" w:hAnsi="Century Gothic"/>
          <w:sz w:val="20"/>
          <w:szCs w:val="20"/>
        </w:rPr>
        <w:t>Funciones.-</w:t>
      </w:r>
      <w:proofErr w:type="gramEnd"/>
      <w:r w:rsidRPr="00E41315">
        <w:rPr>
          <w:rFonts w:ascii="Century Gothic" w:hAnsi="Century Gothic"/>
          <w:sz w:val="20"/>
          <w:szCs w:val="20"/>
        </w:rPr>
        <w:t xml:space="preserve"> Son funciones del gobierno autónomo descentralizado municipal las siguientes: s) Fomentar actividades orientadas a cuidar, proteger y conservar el patrimonio cultural y memoria social en el campo de la interculturalidad y diversidad del cantón; </w:t>
      </w:r>
    </w:p>
    <w:p w14:paraId="2E55691F"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55.- Competencias exclusivas del gobierno autónomo descentralizado </w:t>
      </w:r>
      <w:proofErr w:type="gramStart"/>
      <w:r w:rsidRPr="00E41315">
        <w:rPr>
          <w:rFonts w:ascii="Century Gothic" w:hAnsi="Century Gothic"/>
          <w:sz w:val="20"/>
          <w:szCs w:val="20"/>
        </w:rPr>
        <w:t>municipal.-</w:t>
      </w:r>
      <w:proofErr w:type="gramEnd"/>
      <w:r w:rsidRPr="00E41315">
        <w:rPr>
          <w:rFonts w:ascii="Century Gothic" w:hAnsi="Century Gothic"/>
          <w:sz w:val="20"/>
          <w:szCs w:val="20"/>
        </w:rPr>
        <w:t xml:space="preserve"> Los gobiernos autónomos descentralizados municipales tendrán las siguientes competencias exclusivas sin perjuicio de otras que determine la ley; g) Planificar, construir y mantener la infraestructura física y los equipamientos de los espacios públicos destinados al desarrollo social, cultural y deportivo, de acuerdo con la ley. Previa autorización del ente rector de la política pública, a través de convenio, los gobiernos autónomos descentralizados municipales podrán construir y mantener infraestructura física y los equipamientos de salud y educación, en su jurisdicción territorial. h) Preservar, mantener y difundir el patrimonio arquitectónico, cultural y natural del cantón y construir los espacios públicos para estos fines; </w:t>
      </w:r>
    </w:p>
    <w:p w14:paraId="1DAE84B5"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126.- Gestión concurrente de competencias </w:t>
      </w:r>
      <w:proofErr w:type="gramStart"/>
      <w:r w:rsidRPr="00E41315">
        <w:rPr>
          <w:rFonts w:ascii="Century Gothic" w:hAnsi="Century Gothic"/>
          <w:sz w:val="20"/>
          <w:szCs w:val="20"/>
        </w:rPr>
        <w:t>exclusivas.-</w:t>
      </w:r>
      <w:proofErr w:type="gramEnd"/>
      <w:r w:rsidRPr="00E41315">
        <w:rPr>
          <w:rFonts w:ascii="Century Gothic" w:hAnsi="Century Gothic"/>
          <w:sz w:val="20"/>
          <w:szCs w:val="20"/>
        </w:rPr>
        <w:t xml:space="preserve"> El ejercicio de las competencias exclusivas establecidas en la Constitución para cada nivel de gobierno, no excluirá el ejercicio concurrente de la gestión en la prestación de servicios públicos. En este marco, salvo el caso de los sectores privativos, los gobiernos autónomos descentralizados podrán ejercer la gestión concurrente de competencias exclusivas de otro nivel, conforme el modelo de gestión de cada sector al cual pertenezca la competencia y con autorización expresa del titular de la misma a través de un convenio. </w:t>
      </w:r>
    </w:p>
    <w:p w14:paraId="4B25E14E"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138.- Ejercicio de las competencias de infraestructura y equipamientos físicos de salud y </w:t>
      </w:r>
      <w:proofErr w:type="gramStart"/>
      <w:r w:rsidRPr="00E41315">
        <w:rPr>
          <w:rFonts w:ascii="Century Gothic" w:hAnsi="Century Gothic"/>
          <w:sz w:val="20"/>
          <w:szCs w:val="20"/>
        </w:rPr>
        <w:t>educación.-</w:t>
      </w:r>
      <w:proofErr w:type="gramEnd"/>
      <w:r w:rsidRPr="00E41315">
        <w:rPr>
          <w:rFonts w:ascii="Century Gothic" w:hAnsi="Century Gothic"/>
          <w:sz w:val="20"/>
          <w:szCs w:val="20"/>
        </w:rPr>
        <w:t xml:space="preserve"> Los gobiernos autónomos descentralizados municipales y metropolitanos, podrán construir y mantener la infraestructura y los equipamientos físicos de salud y educación, para lo cual deberán contar con la autorización previa del ente rector a través de convenio, y sujetarse a las regulaciones y procedimientos nacionales emitidos para el efecto. Cada nivel de gobierno será responsable del mantenimiento y equipamiento de lo que administre. </w:t>
      </w:r>
    </w:p>
    <w:p w14:paraId="0741471B"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144.- Ejercicio de la competencia de preservar, mantener y difundir el patrimonio cultural. Corresponde a los gobiernos autónomos descentralizados municipales, formular, aprobar, ejecutar y evaluar los planes, programas y proyectos destinados a la preservación, mantenimiento y difusión del patrimonio arquitectónico, cultural y natural, de su circunscripción y construir los espacios públicos para estos fines. Además, los gobiernos municipales y distritales podrán delegar a los gobiernos parroquiales rurales y a las comunidades, la preservación, mantenimiento y difusión de recursos patrimoniales existentes en las parroquias rurales y urbanas. Los gobiernos autónomos descentralizados municipales podrán, mediante convenios, gestionar concurrentemente con otros </w:t>
      </w:r>
      <w:r w:rsidRPr="00E41315">
        <w:rPr>
          <w:rFonts w:ascii="Century Gothic" w:hAnsi="Century Gothic"/>
          <w:sz w:val="20"/>
          <w:szCs w:val="20"/>
        </w:rPr>
        <w:lastRenderedPageBreak/>
        <w:t xml:space="preserve">niveles de gobierno las competencias de preservación, mantenimiento y difusión del patrimonio cultural material e inmaterial. </w:t>
      </w:r>
    </w:p>
    <w:p w14:paraId="6E517B25"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302.- Participación </w:t>
      </w:r>
      <w:proofErr w:type="gramStart"/>
      <w:r w:rsidRPr="00E41315">
        <w:rPr>
          <w:rFonts w:ascii="Century Gothic" w:hAnsi="Century Gothic"/>
          <w:sz w:val="20"/>
          <w:szCs w:val="20"/>
        </w:rPr>
        <w:t>ciudadana.-</w:t>
      </w:r>
      <w:proofErr w:type="gramEnd"/>
      <w:r w:rsidRPr="00E41315">
        <w:rPr>
          <w:rFonts w:ascii="Century Gothic" w:hAnsi="Century Gothic"/>
          <w:sz w:val="20"/>
          <w:szCs w:val="20"/>
        </w:rPr>
        <w:t xml:space="preserve"> Los gobiernos autónomos descentralizados reconocerán todas las formas de participación ciudadana, de carácter individual y colectivo, incluyendo aquellas que se generen en las unidades territoriales de base, barrios, comunidades, comunas, recintos y aquellas organizaciones propias de los pueblos y nacionalidades, en el marco de la Constitución y la ley. </w:t>
      </w:r>
    </w:p>
    <w:p w14:paraId="46EE3E51" w14:textId="78B0FB5E" w:rsidR="00E41315" w:rsidRPr="00E41315" w:rsidRDefault="00E41315" w:rsidP="00E41315">
      <w:pPr>
        <w:jc w:val="both"/>
        <w:rPr>
          <w:rFonts w:ascii="Century Gothic" w:hAnsi="Century Gothic"/>
          <w:b/>
          <w:bCs/>
          <w:sz w:val="20"/>
          <w:szCs w:val="20"/>
        </w:rPr>
      </w:pPr>
      <w:r w:rsidRPr="00E41315">
        <w:rPr>
          <w:rFonts w:ascii="Century Gothic" w:hAnsi="Century Gothic"/>
          <w:b/>
          <w:bCs/>
          <w:sz w:val="20"/>
          <w:szCs w:val="20"/>
        </w:rPr>
        <w:t>LEY DE CULTURA:</w:t>
      </w:r>
    </w:p>
    <w:p w14:paraId="3CD97747"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 Art. 3.- De los fines, Literales a y b: Son fines de la presente Ley: a) Fomentar el diálogo intercultural en el respeto de la diversidad; y fortalecer la identidad nacional, entendida como la conjunción de las identidades diversas que la constituyen; b) Fomentar e impulsar la libre creación, la producción, valoración y circulación de productos, servicios culturales y de los conocimientos y saberes ancestrales que forman parte de las identidades diversas, y promover el acceso al espacio público de las diversas expresiones de dichos procesos. </w:t>
      </w:r>
    </w:p>
    <w:p w14:paraId="7DC1AE10"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Art.5.- literal G: Formación en artes, cultura y patrimonio. Todas las personas, comunidades, pueblos y nacionalidades, colectivos y Organizaciones tienen derecho a la formación artística, cultural y patrimonial en el marco de un proceso educativo integral. Literal h): Uso, acceso y disfrute del espacio público. Todas las personas tienen derecho de participar y acceder a bienes y servicios culturales diversos en el espacio público </w:t>
      </w:r>
    </w:p>
    <w:p w14:paraId="0A3FA2C3"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8.- De la Política Cultural. Las entidades, organismos e instituciones del Sistema Nacional de Cultura ejecutarán políticas que promuevan la creación, la actividad artística y cultural, las expresiones de la cultura popular, la formación, la investigación, el fomento y el fortalecimiento de las expresiones culturales; el reconocimiento, mantenimiento, conservación y difusión del patrimonio cultural y la memoria social y la producción y desarrollo de industrias culturales y creativas </w:t>
      </w:r>
    </w:p>
    <w:p w14:paraId="4653CB8F"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24.- De su conformación. Integran el Sistema Nacional de Cultura todas las instituciones del ámbito cultural que reciban fondos públicos, los Gobiernos Autónomos Descentralizados y de Régimen Especial, la Casa de la Cultura Ecuatoriana Benjamín Carrión, y los colectivos, asociaciones, organizaciones no gubernamentales, entidades, actores y gestores de la cultura que, siendo independientes, se vinculen voluntariamente al sistema. El Sistema Nacional de Cultura está conformado por dos subsistemas compuestos por las siguientes entidades, organismos e instituciones: 1. Subsistema de la Memoria Social y el Patrimonio Cultural; a) Instituto Nacional de Patrimonio Cultural; b) Casa de la Cultura Ecuatoriana Benjamín Carrión; c) Los museos, archivos, bibliotecas, hemerotecas, cinematecas, mediatecas, repositorios, centros culturales y entidades de patrimonio y memoria social que reciban fondos públicos y, los que voluntariamente se vinculen al Sistema Nacional de Cultura, previo cumplimiento de requisitos y procesos determinados por el ente rector; d) Los Gobiernos Autónomos Descentralizados y de Régimen Especial, en el ámbito de sus competencias; y, e) Las Demás que reciban fondos públicos. </w:t>
      </w:r>
    </w:p>
    <w:p w14:paraId="17B51A0C" w14:textId="603D766E" w:rsidR="00E41315" w:rsidRPr="00E41315" w:rsidRDefault="00E41315" w:rsidP="00E41315">
      <w:pPr>
        <w:jc w:val="both"/>
        <w:rPr>
          <w:rFonts w:ascii="Century Gothic" w:hAnsi="Century Gothic"/>
          <w:sz w:val="20"/>
          <w:szCs w:val="20"/>
        </w:rPr>
      </w:pPr>
      <w:r w:rsidRPr="00E41315">
        <w:rPr>
          <w:rFonts w:ascii="Century Gothic" w:hAnsi="Century Gothic"/>
          <w:b/>
          <w:bCs/>
          <w:sz w:val="20"/>
          <w:szCs w:val="20"/>
        </w:rPr>
        <w:t>RESOLUCIÓN-0004-CNC-2015</w:t>
      </w:r>
      <w:r>
        <w:rPr>
          <w:rFonts w:ascii="Century Gothic" w:hAnsi="Century Gothic"/>
          <w:sz w:val="20"/>
          <w:szCs w:val="20"/>
        </w:rPr>
        <w:t>:</w:t>
      </w:r>
      <w:r w:rsidRPr="00E41315">
        <w:rPr>
          <w:rFonts w:ascii="Century Gothic" w:hAnsi="Century Gothic"/>
          <w:sz w:val="20"/>
          <w:szCs w:val="20"/>
        </w:rPr>
        <w:t xml:space="preserve"> </w:t>
      </w:r>
    </w:p>
    <w:p w14:paraId="19B503D2"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Articulo 9.- Facultades de los gobiernos autónomos descentralizados metropolitanos y municipales. En el marco de la competencia para preservar, mantener y difundir el </w:t>
      </w:r>
      <w:r w:rsidRPr="00E41315">
        <w:rPr>
          <w:rFonts w:ascii="Century Gothic" w:hAnsi="Century Gothic"/>
          <w:sz w:val="20"/>
          <w:szCs w:val="20"/>
        </w:rPr>
        <w:lastRenderedPageBreak/>
        <w:t xml:space="preserve">patrimonio arquitectónico y cultural, y construir los espacios públicos para estos fines, corresponde a los gobiernos autónomos descentralizados metropolitanos y municipales, las facultades de rectoría local, planificación local, regulación local, control y gestión local. </w:t>
      </w:r>
    </w:p>
    <w:p w14:paraId="50605160"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Artículo 10.- Rectoría </w:t>
      </w:r>
      <w:proofErr w:type="gramStart"/>
      <w:r w:rsidRPr="00E41315">
        <w:rPr>
          <w:rFonts w:ascii="Century Gothic" w:hAnsi="Century Gothic"/>
          <w:sz w:val="20"/>
          <w:szCs w:val="20"/>
        </w:rPr>
        <w:t>local.-</w:t>
      </w:r>
      <w:proofErr w:type="gramEnd"/>
      <w:r w:rsidRPr="00E41315">
        <w:rPr>
          <w:rFonts w:ascii="Century Gothic" w:hAnsi="Century Gothic"/>
          <w:sz w:val="20"/>
          <w:szCs w:val="20"/>
        </w:rPr>
        <w:t xml:space="preserve"> En el marco de la competencia para preservar, mantener y difundir el patrimonio arquitectónico y cultural, y construir los espacios públicos para estos fines, y en concordancia con la rectoría nacional, corresponde a los gobiernos autónomos descentralizados metropolitanos y municipales emitir la política pública local para la preservación, mantenimiento y difusión del patrimonio arquitectónico y cultural material e inmaterial de su circunscripción territorial. </w:t>
      </w:r>
    </w:p>
    <w:p w14:paraId="1A1EB1A9"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Artículo 11.- Planificación local.- En el marco de la competencia para preservar, mantener y difundir el patrimonio arquitectónico y cultural, y construir los espacios públicos para estos fines, y en articulación con la planificación nacional, corresponde a los gobiernos autónomos descentralizados metropolitanos y municipales, dentro de su planificación local, formular planes, programas y proyectos, destinados a la preservación, mantenimiento y difusión del patrimonio arquitectónico y cultural de su circunscripción territorial. </w:t>
      </w:r>
    </w:p>
    <w:p w14:paraId="26925572"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Artículo 12.- Regulación </w:t>
      </w:r>
      <w:proofErr w:type="gramStart"/>
      <w:r w:rsidRPr="00E41315">
        <w:rPr>
          <w:rFonts w:ascii="Century Gothic" w:hAnsi="Century Gothic"/>
          <w:sz w:val="20"/>
          <w:szCs w:val="20"/>
        </w:rPr>
        <w:t>local,-</w:t>
      </w:r>
      <w:proofErr w:type="gramEnd"/>
      <w:r w:rsidRPr="00E41315">
        <w:rPr>
          <w:rFonts w:ascii="Century Gothic" w:hAnsi="Century Gothic"/>
          <w:sz w:val="20"/>
          <w:szCs w:val="20"/>
        </w:rPr>
        <w:t xml:space="preserve"> En el marco de la competencia para preservar, mantener y difundir el patrimonio arquitectónico y cultural, y construir los espacios públicos para estos fines, corresponde a los gobiernos autónomos descentralizados metropolitanos y municipales, las siguientes actividades de regulación, de incidencia cantonal: mantener y difundir el patrimonio cultural del cantón. 1. Emitir la normativa local necesaria para preservar, mantener y difundir el patrimonio cultural del cantón. 2. Dictar las ordenanzas o reglamentos que protejan el patrimonio cultural local para su preservación, mantenimiento y difusión. 3. Emitir la normativa local para delimitar el área de influencia, su entorno ambiental y paisajístico, cuando se trate de bienes inmuebles que se consideren que pertenecen al patrimonio cultural local y que no sobrepasen la circunscripción cantonal. 4. Dictar ordenanzas y resoluciones que regulen el uso del suelo en las áreas patrimoniales, prohibiendo el uso incompatible con los principios de la preservación, mantenimiento y difusión. 5. Las demás que estén establecidas en la ley y la normativa nacional vigente. </w:t>
      </w:r>
    </w:p>
    <w:p w14:paraId="56E4C0F7"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Artículo 13.- Control local.- En el marco de la competencia para preservar, mantener y difundir el patrimonio arquitectónico y cultural, y construir los espacios públicos para estos fines, corresponde a los gobiernos autónomos descentralizados metropolitanos y municipales, las siguientes actividades de control: 1. Velar por la preservación, mantenimiento y difusión del patrimonio cultural tangible e intangible, de la riqueza histórica, artística y lingüística, de la memoria colectiva y del conjunto de valores y manifestaciones que configuran la identidad plurinacional e intercultural del cantón. 2. Adoptar medidas precautelatorias para la protección del patrimonio cultural local. 3. Monitorear y evaluar los planes, programas y proyectos destinados a la preservación, mantenimiento y difusión del patrimonio cultural local de su circunscripción. 4. Las demás que estén establecidas en la ley y la normativa nacional. </w:t>
      </w:r>
    </w:p>
    <w:p w14:paraId="20CBB9AB" w14:textId="77777777" w:rsidR="00E41315" w:rsidRPr="00E41315" w:rsidRDefault="00E41315" w:rsidP="00E41315">
      <w:pPr>
        <w:spacing w:after="0" w:line="240" w:lineRule="atLeast"/>
        <w:jc w:val="both"/>
        <w:rPr>
          <w:rFonts w:ascii="Century Gothic" w:hAnsi="Century Gothic"/>
          <w:sz w:val="20"/>
          <w:szCs w:val="20"/>
        </w:rPr>
      </w:pPr>
      <w:r w:rsidRPr="00E41315">
        <w:rPr>
          <w:rFonts w:ascii="Century Gothic" w:hAnsi="Century Gothic"/>
          <w:sz w:val="20"/>
          <w:szCs w:val="20"/>
        </w:rPr>
        <w:t xml:space="preserve">Articulo 14.- Gestión </w:t>
      </w:r>
      <w:proofErr w:type="gramStart"/>
      <w:r w:rsidRPr="00E41315">
        <w:rPr>
          <w:rFonts w:ascii="Century Gothic" w:hAnsi="Century Gothic"/>
          <w:sz w:val="20"/>
          <w:szCs w:val="20"/>
        </w:rPr>
        <w:t>local.-</w:t>
      </w:r>
      <w:proofErr w:type="gramEnd"/>
      <w:r w:rsidRPr="00E41315">
        <w:rPr>
          <w:rFonts w:ascii="Century Gothic" w:hAnsi="Century Gothic"/>
          <w:sz w:val="20"/>
          <w:szCs w:val="20"/>
        </w:rPr>
        <w:t xml:space="preserve"> En el marco de la competencia para preservar, mantener y difundir el patrimonio arquitectónico y cultural, y construir los espacios públicos para estos fines, corresponde a los gobiernos autónomos descentralizados metropolitanos y municipales, las siguientes actividades de gestión de incidencia cantonal: 1. Conservar, preservar, restaurar, exhibir, investigar y promocionar el patrimonio cultural cantonal. 2. </w:t>
      </w:r>
      <w:r w:rsidRPr="00E41315">
        <w:rPr>
          <w:rFonts w:ascii="Century Gothic" w:hAnsi="Century Gothic"/>
          <w:sz w:val="20"/>
          <w:szCs w:val="20"/>
        </w:rPr>
        <w:lastRenderedPageBreak/>
        <w:t xml:space="preserve">Fomentar actividades orientadas a cuidar, proteger, conservar y salvaguardar el patrimonio cultural y memoria social, respetando la interculturalidad y diversidad del cantón. </w:t>
      </w:r>
    </w:p>
    <w:p w14:paraId="429EAB37" w14:textId="77777777" w:rsidR="00E41315" w:rsidRPr="00E41315" w:rsidRDefault="00E41315" w:rsidP="00E41315">
      <w:pPr>
        <w:spacing w:after="0" w:line="240" w:lineRule="atLeast"/>
        <w:jc w:val="both"/>
        <w:rPr>
          <w:rFonts w:ascii="Century Gothic" w:hAnsi="Century Gothic"/>
          <w:sz w:val="20"/>
          <w:szCs w:val="20"/>
        </w:rPr>
      </w:pPr>
      <w:r w:rsidRPr="00E41315">
        <w:rPr>
          <w:rFonts w:ascii="Century Gothic" w:hAnsi="Century Gothic"/>
          <w:sz w:val="20"/>
          <w:szCs w:val="20"/>
        </w:rPr>
        <w:t xml:space="preserve">DISPOSICIONES GENERALES: </w:t>
      </w:r>
    </w:p>
    <w:p w14:paraId="5C1B2B81" w14:textId="77777777" w:rsidR="00E41315" w:rsidRPr="00E41315" w:rsidRDefault="00E41315" w:rsidP="00E41315">
      <w:pPr>
        <w:spacing w:after="0" w:line="240" w:lineRule="atLeast"/>
        <w:jc w:val="both"/>
        <w:rPr>
          <w:rFonts w:ascii="Century Gothic" w:hAnsi="Century Gothic"/>
          <w:sz w:val="20"/>
          <w:szCs w:val="20"/>
        </w:rPr>
      </w:pPr>
      <w:proofErr w:type="gramStart"/>
      <w:r w:rsidRPr="00E41315">
        <w:rPr>
          <w:rFonts w:ascii="Century Gothic" w:hAnsi="Century Gothic"/>
          <w:sz w:val="20"/>
          <w:szCs w:val="20"/>
        </w:rPr>
        <w:t>SEGUNDA.-</w:t>
      </w:r>
      <w:proofErr w:type="gramEnd"/>
      <w:r w:rsidRPr="00E41315">
        <w:rPr>
          <w:rFonts w:ascii="Century Gothic" w:hAnsi="Century Gothic"/>
          <w:sz w:val="20"/>
          <w:szCs w:val="20"/>
        </w:rPr>
        <w:t xml:space="preserve"> Los gobiernos autónomo descentralizados metropolitanos y municipales destinaran los recursos recibidos en aplicación de esta resolución, para financiar el ejercicio de la competencia para preservar, mantener, y difundir el patrimonio arquitectónico y cultural y construir los espacios públicos para estos fines. </w:t>
      </w:r>
    </w:p>
    <w:p w14:paraId="1960DB7E" w14:textId="77777777" w:rsidR="00E41315" w:rsidRPr="00E41315" w:rsidRDefault="00E41315" w:rsidP="00E41315">
      <w:pPr>
        <w:spacing w:after="0" w:line="240" w:lineRule="atLeast"/>
        <w:jc w:val="both"/>
        <w:rPr>
          <w:rFonts w:ascii="Century Gothic" w:hAnsi="Century Gothic"/>
          <w:sz w:val="20"/>
          <w:szCs w:val="20"/>
        </w:rPr>
      </w:pPr>
      <w:r w:rsidRPr="00E41315">
        <w:rPr>
          <w:rFonts w:ascii="Century Gothic" w:hAnsi="Century Gothic"/>
          <w:sz w:val="20"/>
          <w:szCs w:val="20"/>
        </w:rPr>
        <w:t xml:space="preserve">CUARTA.- El ente rector de la competencia, en coordinación con el Consejo Nacional de Competencias y la entidad asociativa de los gobiernos autónomos descentralizados municipales, formulará un plan de fortalecimiento institucional para el ejercicio descentralizado de la competencia para preservar, mantener y difundir el patrimonio arquitectónico y cultural, y construir los espacios públicos para estos fines, observando los lineamientos que para el efecto emita el Consejo Nacional de Competencias. El plan deberá contener un cronograma de fortalecimiento que privilegiará a los gobiernos autónomos descentralizados metropolitanos y municipales con menor capacidad operativa. </w:t>
      </w:r>
    </w:p>
    <w:p w14:paraId="33D12C44" w14:textId="77777777" w:rsidR="00E41315" w:rsidRPr="00E41315" w:rsidRDefault="00E41315" w:rsidP="00E41315">
      <w:pPr>
        <w:spacing w:after="0" w:line="240" w:lineRule="atLeast"/>
        <w:jc w:val="both"/>
        <w:rPr>
          <w:rFonts w:ascii="Century Gothic" w:hAnsi="Century Gothic"/>
          <w:sz w:val="20"/>
          <w:szCs w:val="20"/>
        </w:rPr>
      </w:pPr>
      <w:r w:rsidRPr="00E41315">
        <w:rPr>
          <w:rFonts w:ascii="Century Gothic" w:hAnsi="Century Gothic"/>
          <w:sz w:val="20"/>
          <w:szCs w:val="20"/>
        </w:rPr>
        <w:t xml:space="preserve">QUINTA. El Consejo Nacional de Competencias realizará el monitoreo, seguimiento y evaluación de la competencia para preservar, mantener y difundir el patrimonio arquitectónico y cultural, y construir los espacios públicos para estos fines. </w:t>
      </w:r>
    </w:p>
    <w:p w14:paraId="7A9C0F15" w14:textId="77777777" w:rsidR="00E41315" w:rsidRPr="00E41315" w:rsidRDefault="00E41315" w:rsidP="00E41315">
      <w:pPr>
        <w:spacing w:after="0" w:line="240" w:lineRule="atLeast"/>
        <w:jc w:val="both"/>
        <w:rPr>
          <w:rFonts w:ascii="Century Gothic" w:hAnsi="Century Gothic"/>
          <w:sz w:val="20"/>
          <w:szCs w:val="20"/>
        </w:rPr>
      </w:pPr>
      <w:r w:rsidRPr="00E41315">
        <w:rPr>
          <w:rFonts w:ascii="Century Gothic" w:hAnsi="Century Gothic"/>
          <w:sz w:val="20"/>
          <w:szCs w:val="20"/>
        </w:rPr>
        <w:t xml:space="preserve">SEXTA. Cuando un bien inmueble patrimonial rebase la circunscripción territorial cantonal, la competencia podrá ser ejercida de manera concurrente o mancomunada por los gobiernos autónomos descentralizados. </w:t>
      </w:r>
    </w:p>
    <w:p w14:paraId="416F0DE7" w14:textId="77777777" w:rsidR="00E41315" w:rsidRDefault="00E41315" w:rsidP="00E41315">
      <w:pPr>
        <w:jc w:val="both"/>
        <w:rPr>
          <w:rFonts w:ascii="Century Gothic" w:hAnsi="Century Gothic"/>
          <w:b/>
          <w:bCs/>
          <w:sz w:val="20"/>
          <w:szCs w:val="20"/>
        </w:rPr>
      </w:pPr>
    </w:p>
    <w:p w14:paraId="4FFB856D" w14:textId="2EC11C7F" w:rsidR="00E41315" w:rsidRPr="00E41315" w:rsidRDefault="00E41315" w:rsidP="00E41315">
      <w:pPr>
        <w:jc w:val="both"/>
        <w:rPr>
          <w:rFonts w:ascii="Century Gothic" w:hAnsi="Century Gothic"/>
          <w:b/>
          <w:bCs/>
          <w:sz w:val="20"/>
          <w:szCs w:val="20"/>
        </w:rPr>
      </w:pPr>
      <w:r w:rsidRPr="00E41315">
        <w:rPr>
          <w:rFonts w:ascii="Century Gothic" w:hAnsi="Century Gothic"/>
          <w:b/>
          <w:bCs/>
          <w:sz w:val="20"/>
          <w:szCs w:val="20"/>
        </w:rPr>
        <w:t xml:space="preserve">LEY ORGÁNICA PARA LA PLANIFICACIÓN INTEGRAL DE LA CIRCUNSCRIPCIÓN TERRITORIAL ESPECIAL AMAZÓNICA. </w:t>
      </w:r>
    </w:p>
    <w:p w14:paraId="7F3A768B"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3.- </w:t>
      </w:r>
      <w:proofErr w:type="gramStart"/>
      <w:r w:rsidRPr="00E41315">
        <w:rPr>
          <w:rFonts w:ascii="Century Gothic" w:hAnsi="Century Gothic"/>
          <w:sz w:val="20"/>
          <w:szCs w:val="20"/>
        </w:rPr>
        <w:t>Principios.-</w:t>
      </w:r>
      <w:proofErr w:type="gramEnd"/>
      <w:r w:rsidRPr="00E41315">
        <w:rPr>
          <w:rFonts w:ascii="Century Gothic" w:hAnsi="Century Gothic"/>
          <w:sz w:val="20"/>
          <w:szCs w:val="20"/>
        </w:rPr>
        <w:t xml:space="preserve"> Sin perjuicio de otros previstos en la Constitución de la República del Ecuador, en los instrumentos internacionales ratificados por el Estado ecuatoriano, en la legislación nacional, los principios que contiene la presente Ley constituyen los fundamentos para todas las decisiones y acciones públicas o privadas de las personas naturales y jurídicas que desarrollan actividades en el territorio amazónico: 17 r) Participación de comunas, pueblos y nacionalidades. El Estado, en todos sus niveles de gobierno, reconocerá y garantizará el ejercicio pleno de los derechos colectivos de las comunidades, pueblos y nacionalidades, así como sus aportes para el manejo y conservación de la biodiversidad. Cuando al interior de los territorios del Sistema Nacional de Áreas Naturales Protegidas, habiten nacionalidades, pueblos o comunas, estas participarán en la elaboración del plan de manejo y en las actividades de gestión de dichas áreas. </w:t>
      </w:r>
    </w:p>
    <w:p w14:paraId="00E2AB6F"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21.- Obligación de las Instituciones Públicas. Las instituciones y organismos del Gobierno Central y los Gobiernos Autónomos Descentralizados de la Circunscripción tienen como obligación compartida la construcción del desarrollo justo, equilibrado y equitativo de la Circunscripción Territorial Especial Amazónica; por lo que coordinarán y optimizarán el uso de los recursos establecidos en esta Ley y alinearán sus procesos de formulación de políticas, de planificación y de programación y ejecución de planes, programas y proyectos para la superación de las inequidades existentes; la erradicación de la pobreza, la inclusión, la satisfacción de las necesidades básicas; la transformación de la matriz productiva, con alternativas pertinentes y sostenibles, y el cumplimiento de los objetivos y metas del Plan Integral para la Amazonía, en el marco del respeto de la diversidad, pluriculturalidad, plurinacionalidad y el ejercicio pleno de los derechos individuales y colectivos, en concordancia con las reglas y directrices de sus respectivos </w:t>
      </w:r>
      <w:r w:rsidRPr="00E41315">
        <w:rPr>
          <w:rFonts w:ascii="Century Gothic" w:hAnsi="Century Gothic"/>
          <w:sz w:val="20"/>
          <w:szCs w:val="20"/>
        </w:rPr>
        <w:lastRenderedPageBreak/>
        <w:t xml:space="preserve">planes sectoriales, planes de desarrollo y de Ordenamiento Territorial y del Plan Nacional de Desarrollo. </w:t>
      </w:r>
    </w:p>
    <w:p w14:paraId="12D77B66"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37.- Turismo en áreas naturales protegidas. En las áreas naturales protegidas de la Circunscripción, la autoridad ambiental nacional es el organismo competente para programar, autorizar, controlar y supervisar el uso turístico, en coordinación con la autoridad turística nacional, conforme con lo dispuesto en la Constitución, la ley, las normas sobre la materia y los respectivos planes de manejo. </w:t>
      </w:r>
    </w:p>
    <w:p w14:paraId="6FA5A2C3"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38.- Artesanía local. Se fomentará la elaboración y comercialización de las artesanías y suvenires en la que se utilicen recursos renovables. </w:t>
      </w:r>
      <w:proofErr w:type="gramStart"/>
      <w:r w:rsidRPr="00E41315">
        <w:rPr>
          <w:rFonts w:ascii="Century Gothic" w:hAnsi="Century Gothic"/>
          <w:sz w:val="20"/>
          <w:szCs w:val="20"/>
        </w:rPr>
        <w:t>Los diferentes niveles de gobiernos establecerán políticas preferentes para los productores y artesanos locales;</w:t>
      </w:r>
      <w:proofErr w:type="gramEnd"/>
      <w:r w:rsidRPr="00E41315">
        <w:rPr>
          <w:rFonts w:ascii="Century Gothic" w:hAnsi="Century Gothic"/>
          <w:sz w:val="20"/>
          <w:szCs w:val="20"/>
        </w:rPr>
        <w:t xml:space="preserve"> el Consejo de la Circunscripción promoverá la creación de una certificación con sello que fortalezca la identidad de la Circunscripción. </w:t>
      </w:r>
    </w:p>
    <w:p w14:paraId="40620CB6"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39.- Incentivos a la actividad económica sostenible. El Gobierno Central y los Gobiernos Autónomos Descentralizados, en el marco de sus competencias exclusivas y concurrentes, establecerán incentivos financieros y no financieros, para las personas naturales o jurídicas que implementen actividades económicas sostenibles. Se podrán establecer tasas preferenciales de interés, formas innovadoras de garantía para acceso al crédito, asumir parte de los 18 costos de transferencia y desagregación de tecnología e innovación, apoyar la comercialización y acceso a nuevos mercados, dar subsidios a servicios y exoneraciones tributarias, proveer infraestructura logística, entre otros previstos por la Ley. </w:t>
      </w:r>
    </w:p>
    <w:p w14:paraId="0C8E79B6"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46.- El rol de la Cultura en la Planificación Integral para la Amazonía. El Plan Integral para la Amazonía deberá contener una estrategia territorializada que promueva la creación, la actividad artística y cultural, las expresiones de la cultura popular, la formación, la investigación, el fomento y el fortalecimiento de las expresiones culturales; el reconocimiento, mantenimiento, conservación y difusión del patrimonio cultural y la memoria social, la producción y desarrollo de industrias culturales y creativas; así como para el desarrollo de la identidad cultural diversa, la creatividad artística y el pensamiento crítico, a través de la enseñanza y de las prácticas artísticas y culturales, y el reconocimiento y valoración de los saberes ancestrales y el acervo patrimonial y el uso sostenible de los mismos. Se propiciará la participación de todos los actores públicos, privados o mixtos. </w:t>
      </w:r>
    </w:p>
    <w:p w14:paraId="50DFFB8E" w14:textId="77777777" w:rsidR="00E41315" w:rsidRPr="00E41315" w:rsidRDefault="00E41315" w:rsidP="00E41315">
      <w:pPr>
        <w:jc w:val="both"/>
        <w:rPr>
          <w:rFonts w:ascii="Century Gothic" w:hAnsi="Century Gothic"/>
          <w:sz w:val="20"/>
          <w:szCs w:val="20"/>
        </w:rPr>
      </w:pPr>
      <w:proofErr w:type="spellStart"/>
      <w:r w:rsidRPr="00E41315">
        <w:rPr>
          <w:rFonts w:ascii="Century Gothic" w:hAnsi="Century Gothic"/>
          <w:b/>
          <w:bCs/>
          <w:sz w:val="20"/>
          <w:szCs w:val="20"/>
        </w:rPr>
        <w:t>PDyOT</w:t>
      </w:r>
      <w:proofErr w:type="spellEnd"/>
      <w:r w:rsidRPr="00E41315">
        <w:rPr>
          <w:rFonts w:ascii="Century Gothic" w:hAnsi="Century Gothic"/>
          <w:b/>
          <w:bCs/>
          <w:sz w:val="20"/>
          <w:szCs w:val="20"/>
        </w:rPr>
        <w:t xml:space="preserve"> GADMCJS 2023-2027 COMPONENTE SOCIO CULTURAL</w:t>
      </w:r>
      <w:r w:rsidRPr="00E41315">
        <w:rPr>
          <w:rFonts w:ascii="Century Gothic" w:hAnsi="Century Gothic"/>
          <w:sz w:val="20"/>
          <w:szCs w:val="20"/>
        </w:rPr>
        <w:t>:</w:t>
      </w:r>
    </w:p>
    <w:p w14:paraId="3BC25885"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 “Sacha Intercultural¨ es un programa que busca repotenciar y revitalizar el patrimonio cultural y natural de las nacionalidades </w:t>
      </w:r>
      <w:proofErr w:type="spellStart"/>
      <w:r w:rsidRPr="00E41315">
        <w:rPr>
          <w:rFonts w:ascii="Century Gothic" w:hAnsi="Century Gothic"/>
          <w:sz w:val="20"/>
          <w:szCs w:val="20"/>
        </w:rPr>
        <w:t>Kichwa</w:t>
      </w:r>
      <w:proofErr w:type="spellEnd"/>
      <w:r w:rsidRPr="00E41315">
        <w:rPr>
          <w:rFonts w:ascii="Century Gothic" w:hAnsi="Century Gothic"/>
          <w:sz w:val="20"/>
          <w:szCs w:val="20"/>
        </w:rPr>
        <w:t xml:space="preserve"> y Shuar presentes en el territorio a través de diferentes acciones que van desde el fomento de su organización, el desarrollo de actividades productivas y la gestión para garantizar sus derechos de salud y reproductivos. En este sentido se trata de articular las comunidades y comunas de las nacionalidades al desarrollo del territorio 7.6 Ordenanza sustitutiva para la conservación del patrimonio cultural tangible e intangible del cantón La Joya de los Sachas para el fomento, promoción, fortalecimiento de las actividades culturales, deportivas - recreacionales, turísticas, artísticas y de integración, identidad e interculturalidad. Art. 3.- De los fines de la conservación del patrimonio tangible e intangible del cantón La Joya de los Sachas. - son los siguientes: a) Facilitar a la ciudadanía </w:t>
      </w:r>
      <w:proofErr w:type="spellStart"/>
      <w:r w:rsidRPr="00E41315">
        <w:rPr>
          <w:rFonts w:ascii="Century Gothic" w:hAnsi="Century Gothic"/>
          <w:sz w:val="20"/>
          <w:szCs w:val="20"/>
        </w:rPr>
        <w:t>Sachense</w:t>
      </w:r>
      <w:proofErr w:type="spellEnd"/>
      <w:r w:rsidRPr="00E41315">
        <w:rPr>
          <w:rFonts w:ascii="Century Gothic" w:hAnsi="Century Gothic"/>
          <w:sz w:val="20"/>
          <w:szCs w:val="20"/>
        </w:rPr>
        <w:t xml:space="preserve">, el acceso a las actividades: artístico - culturales, turísticas, ancestrales, deportivo/recreacionales; así como, a los procesos formativos en artes. b) Fomentar el desarrollo cultural, </w:t>
      </w:r>
      <w:r w:rsidRPr="00E41315">
        <w:rPr>
          <w:rFonts w:ascii="Century Gothic" w:hAnsi="Century Gothic"/>
          <w:sz w:val="20"/>
          <w:szCs w:val="20"/>
        </w:rPr>
        <w:lastRenderedPageBreak/>
        <w:t>deportivo/recreacional, turístico, artístico – social de integración, identidad e interculturalidad. c) Impulsar y promover el turismo cantonal comunitario g) Promocionar las actividades: artístico-culturales, turísticas, deportivo/recreacionales, los saberes ancestrales locales; y, los procesos formativos que lleve adelante el Gobierno Municipal. 19 h) Dinamizar la fluidez económica en el cantón a través de jornadas artístico culturales, turísticas, ancestrales, deportivo/recreacionales; y, procesos formativos en artes. Art. 5.- Responsabilidad. – La Dirección de Gestión de Cultura, Turismo y Nacionalidades, será la responsable de la planificación y ejecución de los proyectos para la conservación del patrimonio cultural tangible e intangible del cantón La Joya de los Sachas a través del fomento, promoción, fortalecimiento de las actividades culturales, deportivo - recreacionales, turísticas y de integración, identidad e interculturalidad; en tal virtud, le corresponde: a) Elaborar y presentar al Señor/a Alcalde/</w:t>
      </w:r>
      <w:proofErr w:type="spellStart"/>
      <w:r w:rsidRPr="00E41315">
        <w:rPr>
          <w:rFonts w:ascii="Century Gothic" w:hAnsi="Century Gothic"/>
          <w:sz w:val="20"/>
          <w:szCs w:val="20"/>
        </w:rPr>
        <w:t>sa</w:t>
      </w:r>
      <w:proofErr w:type="spellEnd"/>
      <w:r w:rsidRPr="00E41315">
        <w:rPr>
          <w:rFonts w:ascii="Century Gothic" w:hAnsi="Century Gothic"/>
          <w:sz w:val="20"/>
          <w:szCs w:val="20"/>
        </w:rPr>
        <w:t xml:space="preserve"> para su aprobación, todos los proyectos de inversión relacionados con la conservación del patrimonio cultural tangible e intangible. b) Coordinar de manera permanente con el Ejecutivo Municipal todos los proyectos relacionados con la planificación y ejecución de las actividades artístico-culturales, turísticas, ancestrales, deportivo recreacionales, de integración e identidad; así como, de los procesos formativos en artes. Art. 6.- La Dirección de Gestión de Cultura, Turismo y Nacionalidades, organizará y ejecutará los proyectos para la conservación del patrimonio cultural tangible e intangible del cantón La Joya de los Sachas, previamente aprobados por el Ejecutivo Municipal. </w:t>
      </w:r>
    </w:p>
    <w:p w14:paraId="29CAA94E" w14:textId="77777777" w:rsidR="00E41315" w:rsidRPr="00E41315" w:rsidRDefault="00E41315" w:rsidP="00E41315">
      <w:pPr>
        <w:jc w:val="both"/>
        <w:rPr>
          <w:rFonts w:ascii="Century Gothic" w:hAnsi="Century Gothic"/>
          <w:b/>
          <w:bCs/>
          <w:sz w:val="20"/>
          <w:szCs w:val="20"/>
        </w:rPr>
      </w:pPr>
      <w:r w:rsidRPr="00E41315">
        <w:rPr>
          <w:rFonts w:ascii="Century Gothic" w:hAnsi="Century Gothic"/>
          <w:b/>
          <w:bCs/>
          <w:sz w:val="20"/>
          <w:szCs w:val="20"/>
        </w:rPr>
        <w:t>ORDENANZA PARA LA PREVENCIÓN, ATENCIÓN INTEGRAL Y ERRADICACIÓN DE LA VIOLENCIA CONTRA LAS MUJERES EN EL CANTÓN LA JOYA DE LOS SACHAS:</w:t>
      </w:r>
    </w:p>
    <w:p w14:paraId="5ECDD7A5"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 Enfoques y principios • Art. 3, literal a): Accesibilidad: Toda mujer en su diversidad y ciclo de vida que haya sido víctima de violencia de género contra las mujeres tendrá atención prioritaria considerando sus necesidades especiales en función de su edad, identidad étnico cultural, discapacidad, estado gestacional, su ingreso económico, por lo que se reconocerán las vulnerabilidades para evitar el su registro de casos de violencia o de falta de atención. Las políticas locales deberán reconocer las accesibilidades físicas, económicas y culturales para brindar bienes y servicios que permitan la prevención, atención, protección, reparación y erradicación de la violencia y discriminación a las mujeres. • Art. 4, literal c): Enfoque de interculturalidad, que respeta los saberes y prácticas culturales (como la partería). • Art. 4, literal d) Reconoce la existencia de necesidades y derechos específicos en cada etapa de la vida: niñez, adolescencia, madurez y adultez; y, establece la prioridad de identificar y tratar las vulnerabilidades en dichas etapas. 20 • Art. 4, literal e): Enfoque de interseccionalidad, que exige adaptar las acciones a condiciones étnicas, geográficas y sociales particulares. Marco de derechos y definiciones • Art. 5, literal i): Define la violencia gineco-obstétrica, que incluye el maltrato o negligencia durante el embarazo, parto y posparto. • Art. 6: Reconoce como ámbito de violencia los centros e instituciones de salud, y situaciones de emergencia. Sistema y corresponsabilidad institucional • Art. 7: Crea el Sistema Cantonal Integral, del cual el Ministerio de Salud y el GAD Municipal son parte activa. • Art. 9, literal c): El Ministerio de Salud forma parte obligatoria del sistema. • Art. 14: El GAD debe implementar la ordenanza con acciones y programas concretos. Participación, articulación y enfoque local • Art. 17: Habla de pertinencia cultural, adaptando acciones al contexto local (clave para justificar la partería como alternativa válida). • Art. 19, literal a): El GAD debe financiar proyectos para erradicar la violencia, en coordinación con otros niveles de gobierno. Prevención y atención directa • Art. 25, literal g): Impulsa la generación de datos locales sobre violencia, incluyendo violencia </w:t>
      </w:r>
      <w:r w:rsidRPr="00E41315">
        <w:rPr>
          <w:rFonts w:ascii="Century Gothic" w:hAnsi="Century Gothic"/>
          <w:sz w:val="20"/>
          <w:szCs w:val="20"/>
        </w:rPr>
        <w:lastRenderedPageBreak/>
        <w:t xml:space="preserve">gineco-obstétrica. • Art. 31: Obliga a los integrantes del sistema a organizar servicios de atención integral para mujeres, incluidos casos de violencia relacionada con la maternidad. Responsabilidad por incumplimiento • Art. 38: Establece que el incumplimiento será motivo de denuncia y sanción. Todas las entidades deben ejecutar las medidas dispuestas. </w:t>
      </w:r>
    </w:p>
    <w:p w14:paraId="19D6CBA1" w14:textId="77777777" w:rsidR="00E41315" w:rsidRPr="00E41315" w:rsidRDefault="00E41315" w:rsidP="00E41315">
      <w:pPr>
        <w:jc w:val="both"/>
        <w:rPr>
          <w:rFonts w:ascii="Century Gothic" w:hAnsi="Century Gothic"/>
          <w:sz w:val="20"/>
          <w:szCs w:val="20"/>
        </w:rPr>
      </w:pPr>
      <w:r w:rsidRPr="00E41315">
        <w:rPr>
          <w:rFonts w:ascii="Century Gothic" w:hAnsi="Century Gothic"/>
          <w:b/>
          <w:bCs/>
          <w:sz w:val="20"/>
          <w:szCs w:val="20"/>
        </w:rPr>
        <w:t>ORDENANZA PARA LA REGULACIÓN DE LA COOPERACIÓN INTERNACIONAL Y ASISTENCIA TÉCNICA EN EL GOBIERNO AUTÓNOMO DESCENTRALIZADO MUNICIPAL DEL CANTÓN LA JOYA DE LOS SACHAS</w:t>
      </w:r>
      <w:r w:rsidRPr="00E41315">
        <w:rPr>
          <w:rFonts w:ascii="Century Gothic" w:hAnsi="Century Gothic"/>
          <w:sz w:val="20"/>
          <w:szCs w:val="20"/>
        </w:rPr>
        <w:t>:</w:t>
      </w:r>
    </w:p>
    <w:p w14:paraId="604EAE89"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5.- Criterios para el ejercicio de la competencia de gestión de cooperación internacional. - La presente ordenanza se guiará por los siguientes criterios: 21 b) Articulación territorial: El Gobierno Autónomo Descentralizado Municipal del Cantón La Joya de los Sachas debe ejercer y coordinar un liderazgo efectivo sobre las políticas y estrategias de desarrollo territorial con un involucramiento de los diversos actores y en articulación con los distintos niveles de gobierno a fin de lograr la eficacia de la ayuda. Art. 6.- Organización Institucional para el ejercicio de la competencia. f) Establecer acuerdos y convenios de asistencia técnica y capacitación para el fortalecimiento institucional de la gestión de la competencia. g) Coordinar el desarrollo de programas y proyectos de cooperación. k) Coordinar la estructuración de un banco de perfiles de proyectos para la gestión previa a la postulación de convocatorias que realicen los actores de cooperación. Los perfiles también podrán ser utilizados como insumos para los distintos acercamientos que puedan producirse desde el Gobierno Autónomo Descentralizado Municipal de La Joya de los Sachas con los mencionados actores. </w:t>
      </w:r>
    </w:p>
    <w:p w14:paraId="458AAFCF" w14:textId="280C7B61" w:rsidR="00E41315" w:rsidRPr="00E41315" w:rsidRDefault="00E41315" w:rsidP="00E41315">
      <w:pPr>
        <w:jc w:val="both"/>
        <w:rPr>
          <w:rFonts w:ascii="Century Gothic" w:hAnsi="Century Gothic"/>
          <w:sz w:val="20"/>
          <w:szCs w:val="20"/>
        </w:rPr>
      </w:pPr>
      <w:bookmarkStart w:id="0" w:name="_Hlk210065165"/>
      <w:r w:rsidRPr="00E41315">
        <w:rPr>
          <w:rFonts w:ascii="Century Gothic" w:hAnsi="Century Gothic"/>
          <w:b/>
          <w:bCs/>
          <w:sz w:val="20"/>
          <w:szCs w:val="20"/>
        </w:rPr>
        <w:t>LA ORDENANZA QUE ESTABLECE LOS MONTOS Y CASOS EN LOS CUALES SE REQUIERE AUTORIZACIÓN DEL CONCEJO MUNICIPAL PARA LA SUSCRIPCIÓN DE CONVENIOS Y CONTRATOS DE CRÉDITO</w:t>
      </w:r>
      <w:r w:rsidRPr="00E41315">
        <w:rPr>
          <w:rFonts w:ascii="Century Gothic" w:hAnsi="Century Gothic"/>
          <w:sz w:val="20"/>
          <w:szCs w:val="20"/>
        </w:rPr>
        <w:t xml:space="preserve">, determina: </w:t>
      </w:r>
    </w:p>
    <w:p w14:paraId="74878392" w14:textId="77777777" w:rsidR="00E41315" w:rsidRPr="00E41315" w:rsidRDefault="00E41315" w:rsidP="00E41315">
      <w:pPr>
        <w:jc w:val="both"/>
        <w:rPr>
          <w:rFonts w:ascii="Century Gothic" w:hAnsi="Century Gothic"/>
          <w:sz w:val="20"/>
          <w:szCs w:val="20"/>
        </w:rPr>
      </w:pPr>
      <w:r w:rsidRPr="00E41315">
        <w:rPr>
          <w:rFonts w:ascii="Century Gothic" w:hAnsi="Century Gothic"/>
          <w:sz w:val="20"/>
          <w:szCs w:val="20"/>
        </w:rPr>
        <w:t xml:space="preserve">Art. 1.- El Objeto de la presente ordenanza es la autorización al alcalde alcaldesa de suscribir convenios, contratos de crédito, cartas de entendimiento o afines necesarios para la consecución y ejecución de los fines y competencias del Gobierno Autónomo Descentralizado Municipal de La Joya de los Sachas dentro de las condiciones y montos establecidos en esta Ordenanza y que celebre con los diferentes niveles de gobierno, demás entidades públicas, organismos del sector privado, de cooperación nacional e internacional, organizaciones barriales y comunitarias. Art. 2.- Se entenderá por convenio o contrato de crédito, toda manifestación de voluntad que coadyuve al cumplimiento de las competencias exclusivas y delegadas del GAD Municipal de La Joya de los Sachas o aquellos acuerdos para ejercer competencias de manera concurrente o por cogestión…Art. 4.- Los convenios y contratos de crédito, que requieren autorización de! Concejo Municipal, previo a su suscripción, serán aquellos que comprometan recursos institucionales superiores al monto de VEINTE MIL DÓLARES NORTEAMERICANOS (USD. 20.000,00). Los convenios o contratos de crédito que comprometan recursos del GAD Municipal de La Joya de los Sachas de hasta VEINTE MIL DÓLARES (USD. 20,000.00), no requerirán autorización del Concejo Municipal, siendo de exclusiva responsabilidad del/la </w:t>
      </w:r>
      <w:proofErr w:type="gramStart"/>
      <w:r w:rsidRPr="00E41315">
        <w:rPr>
          <w:rFonts w:ascii="Century Gothic" w:hAnsi="Century Gothic"/>
          <w:sz w:val="20"/>
          <w:szCs w:val="20"/>
        </w:rPr>
        <w:t>Alcalde</w:t>
      </w:r>
      <w:proofErr w:type="gramEnd"/>
      <w:r w:rsidRPr="00E41315">
        <w:rPr>
          <w:rFonts w:ascii="Century Gothic" w:hAnsi="Century Gothic"/>
          <w:sz w:val="20"/>
          <w:szCs w:val="20"/>
        </w:rPr>
        <w:t>/</w:t>
      </w:r>
      <w:proofErr w:type="spellStart"/>
      <w:r w:rsidRPr="00E41315">
        <w:rPr>
          <w:rFonts w:ascii="Century Gothic" w:hAnsi="Century Gothic"/>
          <w:sz w:val="20"/>
          <w:szCs w:val="20"/>
        </w:rPr>
        <w:t>sa</w:t>
      </w:r>
      <w:proofErr w:type="spellEnd"/>
      <w:r w:rsidRPr="00E41315">
        <w:rPr>
          <w:rFonts w:ascii="Century Gothic" w:hAnsi="Century Gothic"/>
          <w:sz w:val="20"/>
          <w:szCs w:val="20"/>
        </w:rPr>
        <w:t xml:space="preserve"> la suscripción, debiendo en estos caso informar al Concejo Municipal sobre la celebración del convenio en la sesión ordinaria inmediata a la fecha de suscripción. Los convenios marco o macro del que se deriven convenios específicos, cuando no se establezca compromisos económicos o siendo el compromiso económico en el monto que es facultad del </w:t>
      </w:r>
      <w:proofErr w:type="gramStart"/>
      <w:r w:rsidRPr="00E41315">
        <w:rPr>
          <w:rFonts w:ascii="Century Gothic" w:hAnsi="Century Gothic"/>
          <w:sz w:val="20"/>
          <w:szCs w:val="20"/>
        </w:rPr>
        <w:t>Alcalde</w:t>
      </w:r>
      <w:proofErr w:type="gramEnd"/>
      <w:r w:rsidRPr="00E41315">
        <w:rPr>
          <w:rFonts w:ascii="Century Gothic" w:hAnsi="Century Gothic"/>
          <w:sz w:val="20"/>
          <w:szCs w:val="20"/>
        </w:rPr>
        <w:t>/</w:t>
      </w:r>
      <w:proofErr w:type="spellStart"/>
      <w:r w:rsidRPr="00E41315">
        <w:rPr>
          <w:rFonts w:ascii="Century Gothic" w:hAnsi="Century Gothic"/>
          <w:sz w:val="20"/>
          <w:szCs w:val="20"/>
        </w:rPr>
        <w:t>sa</w:t>
      </w:r>
      <w:proofErr w:type="spellEnd"/>
      <w:r w:rsidRPr="00E41315">
        <w:rPr>
          <w:rFonts w:ascii="Century Gothic" w:hAnsi="Century Gothic"/>
          <w:sz w:val="20"/>
          <w:szCs w:val="20"/>
        </w:rPr>
        <w:t xml:space="preserve">, será suscrito por la Máxima Autoridad sin requerirse Autorización del Concejo Municipal…Art. 12.- Se </w:t>
      </w:r>
      <w:r w:rsidRPr="00E41315">
        <w:rPr>
          <w:rFonts w:ascii="Century Gothic" w:hAnsi="Century Gothic"/>
          <w:sz w:val="20"/>
          <w:szCs w:val="20"/>
        </w:rPr>
        <w:lastRenderedPageBreak/>
        <w:t>exceptúa de lo dispuesto en la presente ordenanza, aquellos convenios que por mandato de ley requieren autorización del Concejo Municipal, independientemente del monto que se establezca en él. Artículo 13.- Los contratos de comodato y/o donaciones de bienes muebles e inmuebles de propiedad municipal, deberá contar con los informes correspondientes para someter a resolución del Concejo Municipal, independientemente del monto.</w:t>
      </w:r>
    </w:p>
    <w:p w14:paraId="0DCF5D0C" w14:textId="5196BBFB" w:rsidR="00E41315" w:rsidRPr="00E41315" w:rsidRDefault="00E41315" w:rsidP="00E41315">
      <w:pPr>
        <w:shd w:val="clear" w:color="auto" w:fill="FFFFFF"/>
        <w:spacing w:after="0" w:line="240" w:lineRule="auto"/>
        <w:jc w:val="both"/>
        <w:rPr>
          <w:rFonts w:ascii="Century Gothic" w:hAnsi="Century Gothic"/>
          <w:sz w:val="20"/>
          <w:szCs w:val="20"/>
        </w:rPr>
      </w:pPr>
      <w:r w:rsidRPr="00E41315">
        <w:rPr>
          <w:rFonts w:ascii="Century Gothic" w:hAnsi="Century Gothic"/>
          <w:b/>
          <w:bCs/>
          <w:sz w:val="20"/>
          <w:szCs w:val="20"/>
        </w:rPr>
        <w:t>LA RESOLUCIÓN QUE ESTABLECE LOS CRITERIOS Y ORIENTACIONES GENERALES PARA REALIZAR DONACIONES O ASIGNACIONES NO REEMBOLSABLES A FAVOR DE PERSONAS NATURALES O JURÍDICAS DE DERECHO PRIVADO SIN FINES DE LUCRO DESTINADAS A INVESTIGACIÓN CIENTÍFICA, EDUCACIÓN, SALUD, INCLUSIÓN SOCIAL Y DONACIONES PARA LA EJECUCIÓN DE PROGRAMAS O PROYECTOS PRIORITARIOS DE INVERSIÓN EN BENEFICIO DIRECTO DE LA COLECTIVIDAD EN EL CANTÓN LA JOYA DE LOS SACHAS</w:t>
      </w:r>
      <w:r w:rsidRPr="00E41315">
        <w:rPr>
          <w:rFonts w:ascii="Century Gothic" w:hAnsi="Century Gothic"/>
          <w:sz w:val="20"/>
          <w:szCs w:val="20"/>
        </w:rPr>
        <w:t>, establece:</w:t>
      </w:r>
    </w:p>
    <w:p w14:paraId="67314323" w14:textId="77777777" w:rsidR="00E41315" w:rsidRPr="00E41315" w:rsidRDefault="00E41315" w:rsidP="00E41315">
      <w:pPr>
        <w:shd w:val="clear" w:color="auto" w:fill="FFFFFF"/>
        <w:spacing w:after="0" w:line="240" w:lineRule="auto"/>
        <w:jc w:val="both"/>
        <w:rPr>
          <w:rFonts w:ascii="Century Gothic" w:hAnsi="Century Gothic"/>
          <w:sz w:val="20"/>
          <w:szCs w:val="20"/>
        </w:rPr>
      </w:pPr>
    </w:p>
    <w:p w14:paraId="67E9953E" w14:textId="77777777" w:rsidR="00E41315" w:rsidRPr="00E41315" w:rsidRDefault="00E41315" w:rsidP="00E41315">
      <w:pPr>
        <w:shd w:val="clear" w:color="auto" w:fill="FFFFFF"/>
        <w:spacing w:after="0" w:line="240" w:lineRule="auto"/>
        <w:jc w:val="both"/>
        <w:rPr>
          <w:rFonts w:ascii="Century Gothic" w:eastAsia="Times New Roman" w:hAnsi="Century Gothic" w:cs="Arial"/>
          <w:kern w:val="0"/>
          <w:sz w:val="20"/>
          <w:szCs w:val="20"/>
          <w:lang w:eastAsia="es-EC"/>
          <w14:ligatures w14:val="none"/>
        </w:rPr>
      </w:pPr>
      <w:r w:rsidRPr="00E41315">
        <w:rPr>
          <w:rFonts w:ascii="Century Gothic" w:hAnsi="Century Gothic"/>
          <w:sz w:val="20"/>
          <w:szCs w:val="20"/>
        </w:rPr>
        <w:t xml:space="preserve">Art. 1 Objeto.- La presente resolución tiene por objeto establecer los criterios y orientaciones generales para realizar donaciones o asignaciones no reembolsables a favor de personas naturales o jurídicas de derecho privado sin fines de lucro destinadas a investigación científica, educación, salud, inclusión social, desarrollo territorial, ambiente, dinamización de la economía, turismo, cultura y deportes; donaciones para la ejecución de programas o proyectos prioritarios de inversión en beneficio directo de la colectividad en el cantón La Joya de los Sachas…Art. 5 Persona Jurídica. - La entidad solicitante deberá tener domicilio en el cantón La Joya de los Sachas o caso contrario demostrar su capacidad de intervención a favor de la colectividad en el cantón La Joya de los Sachas. Además, deberá ser una persona jurídica sin fines de lucro, debidamente registrada ante el Ministerio u organismo competente y con vigencia legal. Art. 6 Solicitud. - El/la solicitante deberá presentar su propuesta al Gobierno Autónomo Descentralizado Municipal La Joya de los Sachas a través de una de las modalidades siguientes: a) Presupuesto participativo convocado anualmente por el Gobierno Autónomo Descentralizado Municipal La Joya de los Sachas. b) Presentación a la Dirección o área del Gobierno Autónomo Descentralizado Municipal La Joya de los Sachas, a la que corresponde la temática de la propuesta. Art. 7 Informe previo. - Cualquier que sea la modalidad optada por el/la solicitante, la dirección o área a la que corresponde la propuesta </w:t>
      </w:r>
      <w:proofErr w:type="gramStart"/>
      <w:r w:rsidRPr="00E41315">
        <w:rPr>
          <w:rFonts w:ascii="Century Gothic" w:hAnsi="Century Gothic"/>
          <w:sz w:val="20"/>
          <w:szCs w:val="20"/>
        </w:rPr>
        <w:t>presentada,  deberá</w:t>
      </w:r>
      <w:proofErr w:type="gramEnd"/>
      <w:r w:rsidRPr="00E41315">
        <w:rPr>
          <w:rFonts w:ascii="Century Gothic" w:hAnsi="Century Gothic"/>
          <w:sz w:val="20"/>
          <w:szCs w:val="20"/>
        </w:rPr>
        <w:t xml:space="preserve"> elaborar un informe mediante memorando interno en el que conste la viabilidad técnica, jurídica y financiera; y la condición que la propuesta beneficie a la colectividad del cantón La Joya de los Sachas, así como anexar la documentación habilitante y la memoria descriptiva, tal como estipulado en los art. 7 y 8 de la presente resolución. Art. 8 Documentación habilitante. - El/la solicitante que requiera ser beneficiario/a de transferencias directas de recursos públicos por concepto de donaciones o asignaciones económicas no reembolsables deberá presentar los originales o copias debidamente notariadas de los documentos habilitantes siguientes: a) Solicitud dirigida al Sr/Sra. Alcalde/Alcaldesa; b) Copia del Registro Único del Contribuyente (RUC); c) Acuerdo ministerial expedido por el ministerio del ramo o su equivalente*; d) Estatutos legalmente inscritos en Ministerio u organismo competente*; e) Nombramiento actualizado del/la representante legal debidamente registrado/a*; f) Copias a color de la cédula y certificado de votación del representante legal o del solicitante; g) Planilla de servicios básicos a nombre del solicitante; h) Certificado de una entidad del sistema bancario nacional o de una cooperativa de ahorros y crédito regulada por la Superintendencia de la Economía Popular y Solidaria de la cuenta exclusiva para el manejo de los fondos asignados; i) Certificado de no adeudar al Municipio j) Certificado de estar al día en el SRI; k) Memoria descriptiva de la propuesta en el formato establecido (establecer el formato) Art. 9 Memoria descriptiva. - El/la solicitante explicará la propuesta objeto de esta resolución utilizando un formato de memoria descriptiva que será adjunto al convenio, el cual </w:t>
      </w:r>
      <w:r w:rsidRPr="00E41315">
        <w:rPr>
          <w:rFonts w:ascii="Century Gothic" w:hAnsi="Century Gothic"/>
          <w:sz w:val="20"/>
          <w:szCs w:val="20"/>
        </w:rPr>
        <w:lastRenderedPageBreak/>
        <w:t xml:space="preserve">deberá incluir en forma precisa y real como mínimo los datos siguientes: a) Título de la propuesta; b) Datos completos de contacto de la entidad ejecutora o ejecutor; c) Nombre y función de la persona responsable de la ejecución; 23 d) Objeto social, misión, visión de la entidad ejecutora o ejecutor; e) Actividades realizadas y experiencia de la entidad ejecutora o ejecutor; f) Marco lógico incluyendo: Fin, propósito, Componentes, actividades, indicadores medios de verificación, supuestos y presupuesto; g) Contexto y problemas de la colectividad que busca resolver; h) Vínculo de la intervención con el PDOT cantonal y con las competencias municipales, sean exclusivas o delegas. i) Beneficiarios-as; j) Cronograma valorado de actividades; k) Presupuesto detallado, incluyendo valores y origen de contrapartes l) Enfoque de género, interculturalidad y grupos de atención prioritarias m) Sostenibilidad de la propuesta. n) Modelo de gestión, cuando corresponda Art. 12. Certificación presupuestaria. - La donación o asignación no reembolsable que se realice deberá contar con la certificación de disponibilidad de fondos financieros y presupuestarios otorgada por el/la directora/a Financiero/a, del Gobierno Autónomo Descentralizado Municipal del cantón La Joya de los Sachas. Art. 13 Aprobación. - La propuesta será sometida a aprobación del Concejo Municipal. Art. 14 Convenio. - Una vez aprobada la solicitud de transferencia, la Procuraduría Síndica del Gobierno Autónomo Descentralizado Municipal La Joya de los Sachas estará a cargo de la elaboración del convenio, cuyo contenido deberá reflejar los criterios y orientaciones de la presente resolución, por lo menos con las siguientes cláusulas: a) Comparecientes b) Antecedentes c) Objeto d) Obligaciones de las partes (responsabilidades técnicas, financieras, administrativas, contables y operativas, presentación de informes, mecanismos de coordinación y comunicación, control, monto total, de desembolso). e) Restitución de fondos 24 f) Administrador/a del convenio g) Plazo de ejecución h) Reformas al convenio i) Terminación del convenio j) Acta de liquidación del convenio k) Solución de controversias l) Rendición de </w:t>
      </w:r>
      <w:proofErr w:type="gramStart"/>
      <w:r w:rsidRPr="00E41315">
        <w:rPr>
          <w:rFonts w:ascii="Century Gothic" w:hAnsi="Century Gothic"/>
          <w:sz w:val="20"/>
          <w:szCs w:val="20"/>
        </w:rPr>
        <w:t>cuentas..</w:t>
      </w:r>
      <w:proofErr w:type="gramEnd"/>
      <w:r w:rsidRPr="00E41315">
        <w:rPr>
          <w:rFonts w:ascii="Century Gothic" w:hAnsi="Century Gothic"/>
          <w:sz w:val="20"/>
          <w:szCs w:val="20"/>
        </w:rPr>
        <w:t xml:space="preserve"> Art. 20 Administrador del convenio. - Para cada propuesta aprobada, el Gobierno Autónomo Descentralizado Municipal La Joya de los Sachas designará a un/a técnico/a municipal encargado/a del seguimiento, control y evaluación durante y luego de la ejecución…Art. 21.- Informes, documentación de respaldo y su archivo.- El ejecutor se obliga, una vez concluido la ejecución del convenio y cumplidas las metas y objetivos del mismo y durante la ejecución conforme a la periodicidad y formatos establecidos en el convenio, a presentar un informe técnico y financiero de dicha ejecución, acompañado por copias certificadas de los documentos que sustenten y respalden los pagos efectuados; debiendo el informe en referencia ser aprobado y validado por el administrador del convenio designado por el Gobierno Autónomo Descentralizado Municipal La Joya de los Sachas, para realizar el seguimiento, control y evaluación durante y luego de la ejecución, con la finalidad de cumplir lo dispuesto en la norma de control interno 405 – 04 documentación de respaldo y su archivo, expedida por la Contraloría General del Estado…Art. 22 Información y visitas. - El/la ejecutor/a informará oportunamente a la entidad municipal sobre novedades u observaciones que se presenten en el desarrollo de la ejecución de la donación o asignación aprobada; además el Gobierno Autónomo Descentralizado Municipal La Joya de los Sachas podrá realizar visitas periódicas in situ a fin de determinar el cumplimiento del avance técnico y financiero del proyecto o programa…Art. 23 Control. - Los recursos transferidos estarán sujetos al control de la Contraloría General del Estado, por origen de los mismos, sin ninguna restricción. Cada dependencia municipal será responsable del seguimiento y evaluación para el uso correcto de recursos y de los convenios suscritos, la que deberá emitir los informes correspondientes acorde a la ejecución de las instituciones beneficiarias. En caso de encontrarse irregularidades se procederá con las acciones pertinentes a efecto de salvaguardar los recursos públicos…Art. 25 Restitución de fondos. - El/la ejecutor/a estará en la obligación de restituir los fondos total o parcialmente al Gobierno Autónomo Descentralizado Municipal La Joya de los Sachas, en los casos siguientes: a) Cuando no se ha cumplido los objetivos de la propuesta. b) </w:t>
      </w:r>
      <w:r w:rsidRPr="00E41315">
        <w:rPr>
          <w:rFonts w:ascii="Century Gothic" w:hAnsi="Century Gothic"/>
          <w:sz w:val="20"/>
          <w:szCs w:val="20"/>
        </w:rPr>
        <w:lastRenderedPageBreak/>
        <w:t>Cuando no se ha justificado legalmente el gasto realizado. c) Cuando se haya desviado los fondos hacia resultados no autorizadas. d) Cuando se haya cambiado los objetivos y/o presupuesto del proyecto, sin la autorización del Gobierno Autónomo Descentralizado Municipal La Joya de los Sachas. e) Cuando ha existido alteración o simulación de documentos habilitantes. f) Cuando el proyecto se ejecute por terceras personas sin autorización del Gobierno Autónomo Descentralizado Municipal La Joya de los Sachas. g) Cuando el ejecutor se disuelva, la persona natural fallezca o ante una manifiesta incapacidad de ejecución de gastos de acuerdo con lo establecido en el proyecto, convenio y los anexos que fueran del caso.</w:t>
      </w:r>
    </w:p>
    <w:bookmarkEnd w:id="0"/>
    <w:p w14:paraId="3EDD3592" w14:textId="77777777" w:rsidR="00E41315" w:rsidRPr="00E41315" w:rsidRDefault="00E41315" w:rsidP="00BE66B1">
      <w:pPr>
        <w:jc w:val="both"/>
        <w:rPr>
          <w:rFonts w:ascii="Century Gothic" w:hAnsi="Century Gothic"/>
          <w:b/>
          <w:bCs/>
          <w:kern w:val="0"/>
          <w:sz w:val="20"/>
          <w:szCs w:val="20"/>
          <w:lang w:eastAsia="es-EC"/>
        </w:rPr>
      </w:pPr>
    </w:p>
    <w:p w14:paraId="24CBDA3A" w14:textId="07937431"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 xml:space="preserve">CLÁUSULA TERCERA. </w:t>
      </w:r>
      <w:r w:rsidR="00C431E6" w:rsidRPr="00E41315">
        <w:rPr>
          <w:rFonts w:ascii="Century Gothic" w:hAnsi="Century Gothic"/>
          <w:b/>
          <w:bCs/>
          <w:kern w:val="0"/>
          <w:sz w:val="20"/>
          <w:szCs w:val="20"/>
          <w:lang w:eastAsia="es-EC"/>
        </w:rPr>
        <w:t>–</w:t>
      </w:r>
      <w:r w:rsidRPr="00E41315">
        <w:rPr>
          <w:rFonts w:ascii="Century Gothic" w:hAnsi="Century Gothic"/>
          <w:b/>
          <w:bCs/>
          <w:kern w:val="0"/>
          <w:sz w:val="20"/>
          <w:szCs w:val="20"/>
          <w:lang w:eastAsia="es-EC"/>
        </w:rPr>
        <w:t xml:space="preserve"> OBJETO</w:t>
      </w:r>
      <w:r w:rsidR="00C431E6" w:rsidRPr="00E41315">
        <w:rPr>
          <w:rFonts w:ascii="Century Gothic" w:hAnsi="Century Gothic"/>
          <w:b/>
          <w:bCs/>
          <w:kern w:val="0"/>
          <w:sz w:val="20"/>
          <w:szCs w:val="20"/>
          <w:lang w:eastAsia="es-EC"/>
        </w:rPr>
        <w:t>:</w:t>
      </w:r>
    </w:p>
    <w:p w14:paraId="3B7FA47C"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El objeto del presente Convenio es la Donación y Cooperación Interinstitucional para el fortalecimiento de la partería y medicina ancestral en el Cantón La Joya de los Sachas, a través de la entrega de bienes (vestimenta y equipos) por parte del GADMCJS a LA ASOCIACIÓN, bajo un esquema de seguimiento y uso público.</w:t>
      </w:r>
    </w:p>
    <w:p w14:paraId="2AD5F27A"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3.1. Objetivo General</w:t>
      </w:r>
    </w:p>
    <w:p w14:paraId="6CC40C75"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Determinar la viabilidad y pertinencia de formalizar un convenio de cooperación entre el GADMCJS y LA ASOCIACIÓN, a fin de fortalecer la partería y medicina ancestral, mediante la donación de equipos y vestimenta, para la "Conservación, preservación y promoción del patrimonio cultural inmaterial, mediante el fortalecimiento a la partería y medicina ancestral de la nacionalidad </w:t>
      </w:r>
      <w:proofErr w:type="spellStart"/>
      <w:r w:rsidRPr="00E41315">
        <w:rPr>
          <w:rFonts w:ascii="Century Gothic" w:hAnsi="Century Gothic"/>
          <w:kern w:val="0"/>
          <w:sz w:val="20"/>
          <w:szCs w:val="20"/>
          <w:lang w:eastAsia="es-EC"/>
        </w:rPr>
        <w:t>Kichwa</w:t>
      </w:r>
      <w:proofErr w:type="spellEnd"/>
      <w:r w:rsidRPr="00E41315">
        <w:rPr>
          <w:rFonts w:ascii="Century Gothic" w:hAnsi="Century Gothic"/>
          <w:kern w:val="0"/>
          <w:sz w:val="20"/>
          <w:szCs w:val="20"/>
          <w:lang w:eastAsia="es-EC"/>
        </w:rPr>
        <w:t xml:space="preserve"> del cantón La Joya de los Sachas".</w:t>
      </w:r>
    </w:p>
    <w:p w14:paraId="381ED20D"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3.2. Objetivos Específicos</w:t>
      </w:r>
    </w:p>
    <w:p w14:paraId="116D05C8"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Entregar formalmente a LA ASOCIACIÓN la vestimenta y los equipos de protección personal adquiridos por el GADMCJS.</w:t>
      </w:r>
    </w:p>
    <w:p w14:paraId="1E8380F5"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Fortalecer el rol social y la seguridad de las parteras </w:t>
      </w:r>
      <w:proofErr w:type="spellStart"/>
      <w:r w:rsidRPr="00E41315">
        <w:rPr>
          <w:rFonts w:ascii="Century Gothic" w:hAnsi="Century Gothic"/>
          <w:kern w:val="0"/>
          <w:sz w:val="20"/>
          <w:szCs w:val="20"/>
          <w:lang w:eastAsia="es-EC"/>
        </w:rPr>
        <w:t>Kichwas</w:t>
      </w:r>
      <w:proofErr w:type="spellEnd"/>
      <w:r w:rsidRPr="00E41315">
        <w:rPr>
          <w:rFonts w:ascii="Century Gothic" w:hAnsi="Century Gothic"/>
          <w:kern w:val="0"/>
          <w:sz w:val="20"/>
          <w:szCs w:val="20"/>
          <w:lang w:eastAsia="es-EC"/>
        </w:rPr>
        <w:t>, dignificando su labor ancestral como agentes de salud comunitaria.</w:t>
      </w:r>
    </w:p>
    <w:p w14:paraId="35F6EC6E"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Garantizar la custodia, buen uso y mantenimiento de los bienes donados por parte de LA ASOCIACIÓN en beneficio de la colectividad.</w:t>
      </w:r>
    </w:p>
    <w:p w14:paraId="0BBB379C" w14:textId="1379A864"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Promover y preservar el patrimonio cultural inmaterial de la Nacionalidad </w:t>
      </w:r>
      <w:proofErr w:type="spellStart"/>
      <w:r w:rsidRPr="00E41315">
        <w:rPr>
          <w:rFonts w:ascii="Century Gothic" w:hAnsi="Century Gothic"/>
          <w:kern w:val="0"/>
          <w:sz w:val="20"/>
          <w:szCs w:val="20"/>
          <w:lang w:eastAsia="es-EC"/>
        </w:rPr>
        <w:t>Kichwa</w:t>
      </w:r>
      <w:proofErr w:type="spellEnd"/>
      <w:r w:rsidRPr="00E41315">
        <w:rPr>
          <w:rFonts w:ascii="Century Gothic" w:hAnsi="Century Gothic"/>
          <w:kern w:val="0"/>
          <w:sz w:val="20"/>
          <w:szCs w:val="20"/>
          <w:lang w:eastAsia="es-EC"/>
        </w:rPr>
        <w:t xml:space="preserve"> en el Cantón La Joya de los Sachas.</w:t>
      </w:r>
    </w:p>
    <w:p w14:paraId="28510D47" w14:textId="6D642DD7"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 xml:space="preserve">CLÁUSULA CUARTA. </w:t>
      </w:r>
      <w:r w:rsidR="00C431E6" w:rsidRPr="00E41315">
        <w:rPr>
          <w:rFonts w:ascii="Century Gothic" w:hAnsi="Century Gothic"/>
          <w:b/>
          <w:bCs/>
          <w:kern w:val="0"/>
          <w:sz w:val="20"/>
          <w:szCs w:val="20"/>
          <w:lang w:eastAsia="es-EC"/>
        </w:rPr>
        <w:t>–</w:t>
      </w:r>
      <w:r w:rsidRPr="00E41315">
        <w:rPr>
          <w:rFonts w:ascii="Century Gothic" w:hAnsi="Century Gothic"/>
          <w:b/>
          <w:bCs/>
          <w:kern w:val="0"/>
          <w:sz w:val="20"/>
          <w:szCs w:val="20"/>
          <w:lang w:eastAsia="es-EC"/>
        </w:rPr>
        <w:t xml:space="preserve"> BENEFICIARIOS</w:t>
      </w:r>
      <w:r w:rsidR="00C431E6" w:rsidRPr="00E41315">
        <w:rPr>
          <w:rFonts w:ascii="Century Gothic" w:hAnsi="Century Gothic"/>
          <w:b/>
          <w:bCs/>
          <w:kern w:val="0"/>
          <w:sz w:val="20"/>
          <w:szCs w:val="20"/>
          <w:lang w:eastAsia="es-EC"/>
        </w:rPr>
        <w:t>:</w:t>
      </w:r>
    </w:p>
    <w:p w14:paraId="487719B6"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BENEFICIARIOS DIRECTOS:</w:t>
      </w:r>
    </w:p>
    <w:p w14:paraId="1C222872"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23 miembros (22 mujeres y 1 varón) de la Asociación </w:t>
      </w:r>
      <w:proofErr w:type="spellStart"/>
      <w:r w:rsidRPr="00E41315">
        <w:rPr>
          <w:rFonts w:ascii="Century Gothic" w:hAnsi="Century Gothic"/>
          <w:kern w:val="0"/>
          <w:sz w:val="20"/>
          <w:szCs w:val="20"/>
          <w:lang w:eastAsia="es-EC"/>
        </w:rPr>
        <w:t>Pakarichik</w:t>
      </w:r>
      <w:proofErr w:type="spellEnd"/>
      <w:r w:rsidRPr="00E41315">
        <w:rPr>
          <w:rFonts w:ascii="Century Gothic" w:hAnsi="Century Gothic"/>
          <w:kern w:val="0"/>
          <w:sz w:val="20"/>
          <w:szCs w:val="20"/>
          <w:lang w:eastAsia="es-EC"/>
        </w:rPr>
        <w:t xml:space="preserve"> </w:t>
      </w:r>
      <w:proofErr w:type="spellStart"/>
      <w:r w:rsidRPr="00E41315">
        <w:rPr>
          <w:rFonts w:ascii="Century Gothic" w:hAnsi="Century Gothic"/>
          <w:kern w:val="0"/>
          <w:sz w:val="20"/>
          <w:szCs w:val="20"/>
          <w:lang w:eastAsia="es-EC"/>
        </w:rPr>
        <w:t>Mamakuna</w:t>
      </w:r>
      <w:proofErr w:type="spellEnd"/>
      <w:r w:rsidRPr="00E41315">
        <w:rPr>
          <w:rFonts w:ascii="Century Gothic" w:hAnsi="Century Gothic"/>
          <w:kern w:val="0"/>
          <w:sz w:val="20"/>
          <w:szCs w:val="20"/>
          <w:lang w:eastAsia="es-EC"/>
        </w:rPr>
        <w:t xml:space="preserve"> de Sacha, legalmente constituidos y certificados/acreditados ante el Ministerio de Salud Pública (MSP) como parteras ancestrales articuladas.</w:t>
      </w:r>
    </w:p>
    <w:p w14:paraId="5773D60F" w14:textId="77777777" w:rsidR="0049294F" w:rsidRDefault="0049294F" w:rsidP="00BE66B1">
      <w:pPr>
        <w:jc w:val="both"/>
        <w:rPr>
          <w:rFonts w:ascii="Century Gothic" w:hAnsi="Century Gothic"/>
          <w:kern w:val="0"/>
          <w:sz w:val="20"/>
          <w:szCs w:val="20"/>
          <w:lang w:eastAsia="es-EC"/>
        </w:rPr>
      </w:pPr>
    </w:p>
    <w:p w14:paraId="08DE852B" w14:textId="77777777" w:rsidR="0049294F" w:rsidRDefault="0049294F" w:rsidP="00BE66B1">
      <w:pPr>
        <w:jc w:val="both"/>
        <w:rPr>
          <w:rFonts w:ascii="Century Gothic" w:hAnsi="Century Gothic"/>
          <w:kern w:val="0"/>
          <w:sz w:val="20"/>
          <w:szCs w:val="20"/>
          <w:lang w:eastAsia="es-EC"/>
        </w:rPr>
      </w:pPr>
    </w:p>
    <w:p w14:paraId="40F1DFB2" w14:textId="77777777" w:rsidR="0049294F" w:rsidRDefault="0049294F" w:rsidP="00BE66B1">
      <w:pPr>
        <w:jc w:val="both"/>
        <w:rPr>
          <w:rFonts w:ascii="Century Gothic" w:hAnsi="Century Gothic"/>
          <w:kern w:val="0"/>
          <w:sz w:val="20"/>
          <w:szCs w:val="20"/>
          <w:lang w:eastAsia="es-EC"/>
        </w:rPr>
      </w:pPr>
    </w:p>
    <w:p w14:paraId="47440787" w14:textId="77777777" w:rsidR="0049294F" w:rsidRDefault="0049294F" w:rsidP="00BE66B1">
      <w:pPr>
        <w:jc w:val="both"/>
        <w:rPr>
          <w:rFonts w:ascii="Century Gothic" w:hAnsi="Century Gothic"/>
          <w:kern w:val="0"/>
          <w:sz w:val="20"/>
          <w:szCs w:val="20"/>
          <w:lang w:eastAsia="es-EC"/>
        </w:rPr>
      </w:pPr>
    </w:p>
    <w:p w14:paraId="43C86968" w14:textId="77777777" w:rsidR="0049294F" w:rsidRDefault="0049294F" w:rsidP="00BE66B1">
      <w:pPr>
        <w:jc w:val="both"/>
        <w:rPr>
          <w:rFonts w:ascii="Century Gothic" w:hAnsi="Century Gothic"/>
          <w:kern w:val="0"/>
          <w:sz w:val="20"/>
          <w:szCs w:val="20"/>
          <w:lang w:eastAsia="es-EC"/>
        </w:rPr>
      </w:pPr>
    </w:p>
    <w:p w14:paraId="65766245" w14:textId="17E192C6" w:rsidR="007E7A0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lastRenderedPageBreak/>
        <w:t>BENEFICIARIOS INDIRECTOS:</w:t>
      </w: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3230"/>
        <w:gridCol w:w="989"/>
        <w:gridCol w:w="1692"/>
        <w:gridCol w:w="1568"/>
        <w:gridCol w:w="463"/>
      </w:tblGrid>
      <w:tr w:rsidR="0049294F" w:rsidRPr="00882D6B" w14:paraId="4DF4AC23" w14:textId="77777777" w:rsidTr="00FE65ED">
        <w:trPr>
          <w:trHeight w:val="643"/>
        </w:trPr>
        <w:tc>
          <w:tcPr>
            <w:tcW w:w="567" w:type="dxa"/>
            <w:tcBorders>
              <w:top w:val="nil"/>
              <w:left w:val="nil"/>
              <w:right w:val="nil"/>
            </w:tcBorders>
            <w:shd w:val="clear" w:color="auto" w:fill="A4A4A4"/>
          </w:tcPr>
          <w:p w14:paraId="30C47A41"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w w:val="95"/>
                <w:sz w:val="18"/>
                <w:szCs w:val="18"/>
              </w:rPr>
              <w:t>Nº</w:t>
            </w:r>
          </w:p>
        </w:tc>
        <w:tc>
          <w:tcPr>
            <w:tcW w:w="3261" w:type="dxa"/>
            <w:tcBorders>
              <w:top w:val="nil"/>
              <w:left w:val="nil"/>
              <w:right w:val="nil"/>
            </w:tcBorders>
            <w:shd w:val="clear" w:color="auto" w:fill="A4A4A4"/>
          </w:tcPr>
          <w:p w14:paraId="7C92DAC3"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w w:val="90"/>
                <w:sz w:val="18"/>
                <w:szCs w:val="18"/>
              </w:rPr>
              <w:t>NOMBRES</w:t>
            </w:r>
            <w:r w:rsidRPr="00882D6B">
              <w:rPr>
                <w:rFonts w:ascii="Century Gothic" w:hAnsi="Century Gothic"/>
                <w:b/>
                <w:spacing w:val="5"/>
                <w:sz w:val="18"/>
                <w:szCs w:val="18"/>
              </w:rPr>
              <w:t xml:space="preserve"> </w:t>
            </w:r>
            <w:r w:rsidRPr="00882D6B">
              <w:rPr>
                <w:rFonts w:ascii="Century Gothic" w:hAnsi="Century Gothic"/>
                <w:b/>
                <w:w w:val="90"/>
                <w:sz w:val="18"/>
                <w:szCs w:val="18"/>
              </w:rPr>
              <w:t>Y</w:t>
            </w:r>
            <w:r w:rsidRPr="00882D6B">
              <w:rPr>
                <w:rFonts w:ascii="Century Gothic" w:hAnsi="Century Gothic"/>
                <w:b/>
                <w:spacing w:val="7"/>
                <w:sz w:val="18"/>
                <w:szCs w:val="18"/>
              </w:rPr>
              <w:t xml:space="preserve"> </w:t>
            </w:r>
            <w:r w:rsidRPr="00882D6B">
              <w:rPr>
                <w:rFonts w:ascii="Century Gothic" w:hAnsi="Century Gothic"/>
                <w:b/>
                <w:spacing w:val="-2"/>
                <w:w w:val="90"/>
                <w:sz w:val="18"/>
                <w:szCs w:val="18"/>
              </w:rPr>
              <w:t>APELLIDOS</w:t>
            </w:r>
          </w:p>
        </w:tc>
        <w:tc>
          <w:tcPr>
            <w:tcW w:w="992" w:type="dxa"/>
            <w:tcBorders>
              <w:top w:val="nil"/>
              <w:left w:val="nil"/>
              <w:right w:val="nil"/>
            </w:tcBorders>
            <w:shd w:val="clear" w:color="auto" w:fill="A4A4A4"/>
          </w:tcPr>
          <w:p w14:paraId="28DF7229"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w w:val="85"/>
                <w:sz w:val="18"/>
                <w:szCs w:val="18"/>
              </w:rPr>
              <w:t>Nº</w:t>
            </w:r>
            <w:r w:rsidRPr="00882D6B">
              <w:rPr>
                <w:rFonts w:ascii="Century Gothic" w:hAnsi="Century Gothic"/>
                <w:b/>
                <w:spacing w:val="-6"/>
                <w:sz w:val="18"/>
                <w:szCs w:val="18"/>
              </w:rPr>
              <w:t xml:space="preserve"> </w:t>
            </w:r>
            <w:r w:rsidRPr="00882D6B">
              <w:rPr>
                <w:rFonts w:ascii="Century Gothic" w:hAnsi="Century Gothic"/>
                <w:b/>
                <w:spacing w:val="-2"/>
                <w:sz w:val="18"/>
                <w:szCs w:val="18"/>
              </w:rPr>
              <w:t>CÉDULA</w:t>
            </w:r>
          </w:p>
        </w:tc>
        <w:tc>
          <w:tcPr>
            <w:tcW w:w="1701" w:type="dxa"/>
            <w:tcBorders>
              <w:top w:val="nil"/>
              <w:left w:val="nil"/>
              <w:right w:val="nil"/>
            </w:tcBorders>
            <w:shd w:val="clear" w:color="auto" w:fill="A4A4A4"/>
          </w:tcPr>
          <w:p w14:paraId="1F2B6A89"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2"/>
                <w:sz w:val="18"/>
                <w:szCs w:val="18"/>
              </w:rPr>
              <w:t>COMUNIDAD</w:t>
            </w:r>
          </w:p>
        </w:tc>
        <w:tc>
          <w:tcPr>
            <w:tcW w:w="1570" w:type="dxa"/>
            <w:tcBorders>
              <w:top w:val="nil"/>
              <w:left w:val="nil"/>
              <w:right w:val="nil"/>
            </w:tcBorders>
            <w:shd w:val="clear" w:color="auto" w:fill="A4A4A4"/>
          </w:tcPr>
          <w:p w14:paraId="5FA2C2DD"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2"/>
                <w:w w:val="90"/>
                <w:sz w:val="18"/>
                <w:szCs w:val="18"/>
              </w:rPr>
              <w:t xml:space="preserve">CERTIFICADO </w:t>
            </w:r>
            <w:r w:rsidRPr="00882D6B">
              <w:rPr>
                <w:rFonts w:ascii="Century Gothic" w:hAnsi="Century Gothic"/>
                <w:b/>
                <w:spacing w:val="-4"/>
                <w:sz w:val="18"/>
                <w:szCs w:val="18"/>
              </w:rPr>
              <w:t>MSP</w:t>
            </w:r>
          </w:p>
        </w:tc>
        <w:tc>
          <w:tcPr>
            <w:tcW w:w="0" w:type="auto"/>
            <w:tcBorders>
              <w:top w:val="nil"/>
              <w:left w:val="nil"/>
              <w:right w:val="nil"/>
            </w:tcBorders>
            <w:shd w:val="clear" w:color="auto" w:fill="A4A4A4"/>
          </w:tcPr>
          <w:p w14:paraId="021A81DD"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4"/>
                <w:sz w:val="18"/>
                <w:szCs w:val="18"/>
              </w:rPr>
              <w:t>EDAD</w:t>
            </w:r>
          </w:p>
        </w:tc>
      </w:tr>
      <w:tr w:rsidR="0049294F" w:rsidRPr="00882D6B" w14:paraId="0C5B398F" w14:textId="77777777" w:rsidTr="00FE65ED">
        <w:trPr>
          <w:trHeight w:val="638"/>
        </w:trPr>
        <w:tc>
          <w:tcPr>
            <w:tcW w:w="567" w:type="dxa"/>
            <w:shd w:val="clear" w:color="auto" w:fill="ECECEC"/>
          </w:tcPr>
          <w:p w14:paraId="3E7CA50A"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10"/>
                <w:sz w:val="18"/>
                <w:szCs w:val="18"/>
              </w:rPr>
              <w:t>1</w:t>
            </w:r>
          </w:p>
        </w:tc>
        <w:tc>
          <w:tcPr>
            <w:tcW w:w="3261" w:type="dxa"/>
            <w:shd w:val="clear" w:color="auto" w:fill="ECECEC"/>
          </w:tcPr>
          <w:p w14:paraId="4ED457CF"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4"/>
                <w:sz w:val="18"/>
                <w:szCs w:val="18"/>
              </w:rPr>
              <w:t>Andi</w:t>
            </w:r>
            <w:r w:rsidRPr="00882D6B">
              <w:rPr>
                <w:rFonts w:ascii="Century Gothic" w:hAnsi="Century Gothic"/>
                <w:sz w:val="18"/>
                <w:szCs w:val="18"/>
              </w:rPr>
              <w:tab/>
            </w:r>
            <w:r w:rsidRPr="00882D6B">
              <w:rPr>
                <w:rFonts w:ascii="Century Gothic" w:hAnsi="Century Gothic"/>
                <w:spacing w:val="-2"/>
                <w:sz w:val="18"/>
                <w:szCs w:val="18"/>
              </w:rPr>
              <w:t>Alvarado</w:t>
            </w:r>
            <w:r w:rsidRPr="00882D6B">
              <w:rPr>
                <w:rFonts w:ascii="Century Gothic" w:hAnsi="Century Gothic"/>
                <w:sz w:val="18"/>
                <w:szCs w:val="18"/>
              </w:rPr>
              <w:tab/>
            </w:r>
            <w:r w:rsidRPr="00882D6B">
              <w:rPr>
                <w:rFonts w:ascii="Century Gothic" w:hAnsi="Century Gothic"/>
                <w:spacing w:val="-8"/>
                <w:sz w:val="18"/>
                <w:szCs w:val="18"/>
              </w:rPr>
              <w:t xml:space="preserve">Salvina </w:t>
            </w:r>
            <w:r w:rsidRPr="00882D6B">
              <w:rPr>
                <w:rFonts w:ascii="Century Gothic" w:hAnsi="Century Gothic"/>
                <w:spacing w:val="-2"/>
                <w:sz w:val="18"/>
                <w:szCs w:val="18"/>
              </w:rPr>
              <w:t>Carolina</w:t>
            </w:r>
          </w:p>
        </w:tc>
        <w:tc>
          <w:tcPr>
            <w:tcW w:w="992" w:type="dxa"/>
            <w:shd w:val="clear" w:color="auto" w:fill="ECECEC"/>
          </w:tcPr>
          <w:p w14:paraId="43397E9C"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150025280-</w:t>
            </w:r>
            <w:r w:rsidRPr="00882D6B">
              <w:rPr>
                <w:rFonts w:ascii="Century Gothic" w:hAnsi="Century Gothic"/>
                <w:spacing w:val="-10"/>
                <w:w w:val="95"/>
                <w:sz w:val="18"/>
                <w:szCs w:val="18"/>
              </w:rPr>
              <w:t>2</w:t>
            </w:r>
          </w:p>
        </w:tc>
        <w:tc>
          <w:tcPr>
            <w:tcW w:w="1701" w:type="dxa"/>
            <w:shd w:val="clear" w:color="auto" w:fill="ECECEC"/>
          </w:tcPr>
          <w:p w14:paraId="0FBAFB6B"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Toyuca</w:t>
            </w:r>
            <w:proofErr w:type="spellEnd"/>
          </w:p>
        </w:tc>
        <w:tc>
          <w:tcPr>
            <w:tcW w:w="1570" w:type="dxa"/>
            <w:vMerge w:val="restart"/>
            <w:shd w:val="clear" w:color="auto" w:fill="ECECEC"/>
          </w:tcPr>
          <w:p w14:paraId="134BFC0F"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2"/>
                <w:sz w:val="18"/>
                <w:szCs w:val="18"/>
              </w:rPr>
              <w:t xml:space="preserve">ACREDITADA </w:t>
            </w:r>
            <w:r w:rsidRPr="00882D6B">
              <w:rPr>
                <w:rFonts w:ascii="Century Gothic" w:hAnsi="Century Gothic"/>
                <w:spacing w:val="-4"/>
                <w:sz w:val="18"/>
                <w:szCs w:val="18"/>
              </w:rPr>
              <w:t>ANTE</w:t>
            </w:r>
            <w:r w:rsidRPr="00882D6B">
              <w:rPr>
                <w:rFonts w:ascii="Century Gothic" w:hAnsi="Century Gothic"/>
                <w:sz w:val="18"/>
                <w:szCs w:val="18"/>
              </w:rPr>
              <w:tab/>
            </w:r>
            <w:r w:rsidRPr="00882D6B">
              <w:rPr>
                <w:rFonts w:ascii="Century Gothic" w:hAnsi="Century Gothic"/>
                <w:spacing w:val="-5"/>
                <w:sz w:val="18"/>
                <w:szCs w:val="18"/>
              </w:rPr>
              <w:t>LA</w:t>
            </w:r>
          </w:p>
          <w:p w14:paraId="65118A2A"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2"/>
                <w:sz w:val="18"/>
                <w:szCs w:val="18"/>
              </w:rPr>
              <w:t xml:space="preserve">COORDINACION </w:t>
            </w:r>
            <w:r w:rsidRPr="00882D6B">
              <w:rPr>
                <w:rFonts w:ascii="Century Gothic" w:hAnsi="Century Gothic"/>
                <w:spacing w:val="-6"/>
                <w:sz w:val="18"/>
                <w:szCs w:val="18"/>
              </w:rPr>
              <w:t>ZONAL</w:t>
            </w:r>
            <w:r w:rsidRPr="00882D6B">
              <w:rPr>
                <w:rFonts w:ascii="Century Gothic" w:hAnsi="Century Gothic"/>
                <w:spacing w:val="52"/>
                <w:sz w:val="18"/>
                <w:szCs w:val="18"/>
              </w:rPr>
              <w:t xml:space="preserve"> </w:t>
            </w:r>
            <w:r w:rsidRPr="00882D6B">
              <w:rPr>
                <w:rFonts w:ascii="Century Gothic" w:hAnsi="Century Gothic"/>
                <w:spacing w:val="-6"/>
                <w:sz w:val="18"/>
                <w:szCs w:val="18"/>
              </w:rPr>
              <w:t xml:space="preserve">2-SALUD </w:t>
            </w:r>
            <w:r w:rsidRPr="00882D6B">
              <w:rPr>
                <w:rFonts w:ascii="Century Gothic" w:hAnsi="Century Gothic"/>
                <w:spacing w:val="-2"/>
                <w:sz w:val="18"/>
                <w:szCs w:val="18"/>
              </w:rPr>
              <w:t xml:space="preserve">DIRECCION </w:t>
            </w:r>
            <w:r w:rsidRPr="00882D6B">
              <w:rPr>
                <w:rFonts w:ascii="Century Gothic" w:hAnsi="Century Gothic"/>
                <w:w w:val="85"/>
                <w:sz w:val="18"/>
                <w:szCs w:val="18"/>
              </w:rPr>
              <w:t>DISTRITAL</w:t>
            </w:r>
            <w:r w:rsidRPr="00882D6B">
              <w:rPr>
                <w:rFonts w:ascii="Century Gothic" w:hAnsi="Century Gothic"/>
                <w:spacing w:val="50"/>
                <w:sz w:val="18"/>
                <w:szCs w:val="18"/>
              </w:rPr>
              <w:t xml:space="preserve"> </w:t>
            </w:r>
            <w:r w:rsidRPr="00882D6B">
              <w:rPr>
                <w:rFonts w:ascii="Century Gothic" w:hAnsi="Century Gothic"/>
                <w:w w:val="85"/>
                <w:sz w:val="18"/>
                <w:szCs w:val="18"/>
              </w:rPr>
              <w:t xml:space="preserve">22D02 </w:t>
            </w:r>
            <w:r w:rsidRPr="00882D6B">
              <w:rPr>
                <w:rFonts w:ascii="Century Gothic" w:hAnsi="Century Gothic"/>
                <w:spacing w:val="-2"/>
                <w:sz w:val="18"/>
                <w:szCs w:val="18"/>
              </w:rPr>
              <w:t>ORELLANA-</w:t>
            </w:r>
            <w:r w:rsidRPr="00882D6B">
              <w:rPr>
                <w:rFonts w:ascii="Century Gothic" w:hAnsi="Century Gothic"/>
                <w:sz w:val="18"/>
                <w:szCs w:val="18"/>
              </w:rPr>
              <w:tab/>
            </w:r>
            <w:r w:rsidRPr="00882D6B">
              <w:rPr>
                <w:rFonts w:ascii="Century Gothic" w:hAnsi="Century Gothic"/>
                <w:sz w:val="18"/>
                <w:szCs w:val="18"/>
              </w:rPr>
              <w:tab/>
            </w:r>
            <w:r w:rsidRPr="00882D6B">
              <w:rPr>
                <w:rFonts w:ascii="Century Gothic" w:hAnsi="Century Gothic"/>
                <w:spacing w:val="-6"/>
                <w:sz w:val="18"/>
                <w:szCs w:val="18"/>
              </w:rPr>
              <w:t xml:space="preserve">LA </w:t>
            </w:r>
            <w:r w:rsidRPr="00882D6B">
              <w:rPr>
                <w:rFonts w:ascii="Century Gothic" w:hAnsi="Century Gothic"/>
                <w:spacing w:val="-4"/>
                <w:sz w:val="18"/>
                <w:szCs w:val="18"/>
              </w:rPr>
              <w:t>JOYA</w:t>
            </w:r>
            <w:r w:rsidRPr="00882D6B">
              <w:rPr>
                <w:rFonts w:ascii="Century Gothic" w:hAnsi="Century Gothic"/>
                <w:sz w:val="18"/>
                <w:szCs w:val="18"/>
              </w:rPr>
              <w:tab/>
            </w:r>
            <w:r w:rsidRPr="00882D6B">
              <w:rPr>
                <w:rFonts w:ascii="Century Gothic" w:hAnsi="Century Gothic"/>
                <w:spacing w:val="-6"/>
                <w:sz w:val="18"/>
                <w:szCs w:val="18"/>
              </w:rPr>
              <w:t>DE</w:t>
            </w:r>
            <w:r w:rsidRPr="00882D6B">
              <w:rPr>
                <w:rFonts w:ascii="Century Gothic" w:hAnsi="Century Gothic"/>
                <w:sz w:val="18"/>
                <w:szCs w:val="18"/>
              </w:rPr>
              <w:tab/>
            </w:r>
            <w:r w:rsidRPr="00882D6B">
              <w:rPr>
                <w:rFonts w:ascii="Century Gothic" w:hAnsi="Century Gothic"/>
                <w:spacing w:val="-12"/>
                <w:sz w:val="18"/>
                <w:szCs w:val="18"/>
              </w:rPr>
              <w:t xml:space="preserve">LOS </w:t>
            </w:r>
            <w:r w:rsidRPr="00882D6B">
              <w:rPr>
                <w:rFonts w:ascii="Century Gothic" w:hAnsi="Century Gothic"/>
                <w:spacing w:val="-2"/>
                <w:sz w:val="18"/>
                <w:szCs w:val="18"/>
              </w:rPr>
              <w:t>SACHAS- PARTERA ANCESTRAL ARTICULADA/O</w:t>
            </w:r>
          </w:p>
        </w:tc>
        <w:tc>
          <w:tcPr>
            <w:tcW w:w="0" w:type="auto"/>
            <w:shd w:val="clear" w:color="auto" w:fill="ECECEC"/>
          </w:tcPr>
          <w:p w14:paraId="6CEE485E"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66</w:t>
            </w:r>
          </w:p>
        </w:tc>
      </w:tr>
      <w:tr w:rsidR="0049294F" w:rsidRPr="00882D6B" w14:paraId="53D39603" w14:textId="77777777" w:rsidTr="00FE65ED">
        <w:trPr>
          <w:trHeight w:val="397"/>
        </w:trPr>
        <w:tc>
          <w:tcPr>
            <w:tcW w:w="567" w:type="dxa"/>
          </w:tcPr>
          <w:p w14:paraId="22BBDCB9"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10"/>
                <w:sz w:val="18"/>
                <w:szCs w:val="18"/>
              </w:rPr>
              <w:t>2</w:t>
            </w:r>
          </w:p>
        </w:tc>
        <w:tc>
          <w:tcPr>
            <w:tcW w:w="3261" w:type="dxa"/>
          </w:tcPr>
          <w:p w14:paraId="1C0F5A69"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z w:val="18"/>
                <w:szCs w:val="18"/>
              </w:rPr>
              <w:t>Andi Cerda</w:t>
            </w:r>
            <w:r w:rsidRPr="00882D6B">
              <w:rPr>
                <w:rFonts w:ascii="Century Gothic" w:hAnsi="Century Gothic"/>
                <w:spacing w:val="-8"/>
                <w:sz w:val="18"/>
                <w:szCs w:val="18"/>
              </w:rPr>
              <w:t xml:space="preserve"> </w:t>
            </w:r>
            <w:r w:rsidRPr="00882D6B">
              <w:rPr>
                <w:rFonts w:ascii="Century Gothic" w:hAnsi="Century Gothic"/>
                <w:sz w:val="18"/>
                <w:szCs w:val="18"/>
              </w:rPr>
              <w:t>Martha</w:t>
            </w:r>
            <w:r w:rsidRPr="00882D6B">
              <w:rPr>
                <w:rFonts w:ascii="Century Gothic" w:hAnsi="Century Gothic"/>
                <w:spacing w:val="-3"/>
                <w:sz w:val="18"/>
                <w:szCs w:val="18"/>
              </w:rPr>
              <w:t xml:space="preserve"> </w:t>
            </w:r>
            <w:r w:rsidRPr="00882D6B">
              <w:rPr>
                <w:rFonts w:ascii="Century Gothic" w:hAnsi="Century Gothic"/>
                <w:spacing w:val="-4"/>
                <w:sz w:val="18"/>
                <w:szCs w:val="18"/>
              </w:rPr>
              <w:t>Norma</w:t>
            </w:r>
          </w:p>
        </w:tc>
        <w:tc>
          <w:tcPr>
            <w:tcW w:w="992" w:type="dxa"/>
          </w:tcPr>
          <w:p w14:paraId="140C2046"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150015778-</w:t>
            </w:r>
            <w:r w:rsidRPr="00882D6B">
              <w:rPr>
                <w:rFonts w:ascii="Century Gothic" w:hAnsi="Century Gothic"/>
                <w:spacing w:val="-10"/>
                <w:w w:val="95"/>
                <w:sz w:val="18"/>
                <w:szCs w:val="18"/>
              </w:rPr>
              <w:t>7</w:t>
            </w:r>
          </w:p>
        </w:tc>
        <w:tc>
          <w:tcPr>
            <w:tcW w:w="1701" w:type="dxa"/>
          </w:tcPr>
          <w:p w14:paraId="303EE4C3"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Rumipamba</w:t>
            </w:r>
            <w:proofErr w:type="spellEnd"/>
          </w:p>
        </w:tc>
        <w:tc>
          <w:tcPr>
            <w:tcW w:w="1570" w:type="dxa"/>
            <w:vMerge/>
            <w:tcBorders>
              <w:top w:val="nil"/>
            </w:tcBorders>
            <w:shd w:val="clear" w:color="auto" w:fill="ECECEC"/>
          </w:tcPr>
          <w:p w14:paraId="77DAE3AE" w14:textId="77777777" w:rsidR="0049294F" w:rsidRPr="00882D6B" w:rsidRDefault="0049294F" w:rsidP="00FE65ED">
            <w:pPr>
              <w:spacing w:line="240" w:lineRule="atLeast"/>
              <w:jc w:val="both"/>
              <w:rPr>
                <w:rFonts w:ascii="Century Gothic" w:hAnsi="Century Gothic"/>
                <w:sz w:val="18"/>
                <w:szCs w:val="18"/>
              </w:rPr>
            </w:pPr>
          </w:p>
        </w:tc>
        <w:tc>
          <w:tcPr>
            <w:tcW w:w="0" w:type="auto"/>
          </w:tcPr>
          <w:p w14:paraId="235D780F"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67</w:t>
            </w:r>
          </w:p>
        </w:tc>
      </w:tr>
      <w:tr w:rsidR="0049294F" w:rsidRPr="00882D6B" w14:paraId="595A85D6" w14:textId="77777777" w:rsidTr="00FE65ED">
        <w:trPr>
          <w:trHeight w:val="398"/>
        </w:trPr>
        <w:tc>
          <w:tcPr>
            <w:tcW w:w="567" w:type="dxa"/>
            <w:shd w:val="clear" w:color="auto" w:fill="ECECEC"/>
          </w:tcPr>
          <w:p w14:paraId="772EE4A0"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10"/>
                <w:sz w:val="18"/>
                <w:szCs w:val="18"/>
              </w:rPr>
              <w:t>3</w:t>
            </w:r>
          </w:p>
        </w:tc>
        <w:tc>
          <w:tcPr>
            <w:tcW w:w="3261" w:type="dxa"/>
            <w:shd w:val="clear" w:color="auto" w:fill="ECECEC"/>
          </w:tcPr>
          <w:p w14:paraId="5D05D1C6"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z w:val="18"/>
                <w:szCs w:val="18"/>
              </w:rPr>
              <w:t>Ashanga</w:t>
            </w:r>
            <w:proofErr w:type="spellEnd"/>
            <w:r w:rsidRPr="00882D6B">
              <w:rPr>
                <w:rFonts w:ascii="Century Gothic" w:hAnsi="Century Gothic"/>
                <w:spacing w:val="-5"/>
                <w:sz w:val="18"/>
                <w:szCs w:val="18"/>
              </w:rPr>
              <w:t xml:space="preserve"> </w:t>
            </w:r>
            <w:r w:rsidRPr="00882D6B">
              <w:rPr>
                <w:rFonts w:ascii="Century Gothic" w:hAnsi="Century Gothic"/>
                <w:sz w:val="18"/>
                <w:szCs w:val="18"/>
              </w:rPr>
              <w:t>Andi</w:t>
            </w:r>
            <w:r w:rsidRPr="00882D6B">
              <w:rPr>
                <w:rFonts w:ascii="Century Gothic" w:hAnsi="Century Gothic"/>
                <w:spacing w:val="-9"/>
                <w:sz w:val="18"/>
                <w:szCs w:val="18"/>
              </w:rPr>
              <w:t xml:space="preserve"> </w:t>
            </w:r>
            <w:r w:rsidRPr="00882D6B">
              <w:rPr>
                <w:rFonts w:ascii="Century Gothic" w:hAnsi="Century Gothic"/>
                <w:spacing w:val="-2"/>
                <w:sz w:val="18"/>
                <w:szCs w:val="18"/>
              </w:rPr>
              <w:t>Ermelinda</w:t>
            </w:r>
          </w:p>
        </w:tc>
        <w:tc>
          <w:tcPr>
            <w:tcW w:w="992" w:type="dxa"/>
            <w:shd w:val="clear" w:color="auto" w:fill="ECECEC"/>
          </w:tcPr>
          <w:p w14:paraId="434D7850"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150028464-</w:t>
            </w:r>
            <w:r w:rsidRPr="00882D6B">
              <w:rPr>
                <w:rFonts w:ascii="Century Gothic" w:hAnsi="Century Gothic"/>
                <w:spacing w:val="-10"/>
                <w:w w:val="95"/>
                <w:sz w:val="18"/>
                <w:szCs w:val="18"/>
              </w:rPr>
              <w:t>9</w:t>
            </w:r>
          </w:p>
        </w:tc>
        <w:tc>
          <w:tcPr>
            <w:tcW w:w="1701" w:type="dxa"/>
            <w:shd w:val="clear" w:color="auto" w:fill="ECECEC"/>
          </w:tcPr>
          <w:p w14:paraId="0E0D77AC"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Sardinas</w:t>
            </w:r>
            <w:proofErr w:type="spellEnd"/>
          </w:p>
        </w:tc>
        <w:tc>
          <w:tcPr>
            <w:tcW w:w="1570" w:type="dxa"/>
            <w:vMerge/>
            <w:tcBorders>
              <w:top w:val="nil"/>
            </w:tcBorders>
            <w:shd w:val="clear" w:color="auto" w:fill="ECECEC"/>
          </w:tcPr>
          <w:p w14:paraId="35B4B676" w14:textId="77777777" w:rsidR="0049294F" w:rsidRPr="00882D6B" w:rsidRDefault="0049294F" w:rsidP="00FE65ED">
            <w:pPr>
              <w:spacing w:line="240" w:lineRule="atLeast"/>
              <w:jc w:val="both"/>
              <w:rPr>
                <w:rFonts w:ascii="Century Gothic" w:hAnsi="Century Gothic"/>
                <w:sz w:val="18"/>
                <w:szCs w:val="18"/>
              </w:rPr>
            </w:pPr>
          </w:p>
        </w:tc>
        <w:tc>
          <w:tcPr>
            <w:tcW w:w="0" w:type="auto"/>
            <w:shd w:val="clear" w:color="auto" w:fill="ECECEC"/>
          </w:tcPr>
          <w:p w14:paraId="70C89073"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65</w:t>
            </w:r>
          </w:p>
        </w:tc>
      </w:tr>
      <w:tr w:rsidR="0049294F" w:rsidRPr="00882D6B" w14:paraId="38BB697B" w14:textId="77777777" w:rsidTr="00FE65ED">
        <w:trPr>
          <w:trHeight w:val="398"/>
        </w:trPr>
        <w:tc>
          <w:tcPr>
            <w:tcW w:w="567" w:type="dxa"/>
          </w:tcPr>
          <w:p w14:paraId="00CD388A"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10"/>
                <w:sz w:val="18"/>
                <w:szCs w:val="18"/>
              </w:rPr>
              <w:t>4</w:t>
            </w:r>
          </w:p>
        </w:tc>
        <w:tc>
          <w:tcPr>
            <w:tcW w:w="3261" w:type="dxa"/>
          </w:tcPr>
          <w:p w14:paraId="5BFEB8C8"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z w:val="18"/>
                <w:szCs w:val="18"/>
              </w:rPr>
              <w:t>Ashanga</w:t>
            </w:r>
            <w:proofErr w:type="spellEnd"/>
            <w:r w:rsidRPr="00882D6B">
              <w:rPr>
                <w:rFonts w:ascii="Century Gothic" w:hAnsi="Century Gothic"/>
                <w:spacing w:val="-5"/>
                <w:sz w:val="18"/>
                <w:szCs w:val="18"/>
              </w:rPr>
              <w:t xml:space="preserve"> </w:t>
            </w:r>
            <w:r w:rsidRPr="00882D6B">
              <w:rPr>
                <w:rFonts w:ascii="Century Gothic" w:hAnsi="Century Gothic"/>
                <w:sz w:val="18"/>
                <w:szCs w:val="18"/>
              </w:rPr>
              <w:t>Andi</w:t>
            </w:r>
            <w:r w:rsidRPr="00882D6B">
              <w:rPr>
                <w:rFonts w:ascii="Century Gothic" w:hAnsi="Century Gothic"/>
                <w:spacing w:val="-14"/>
                <w:sz w:val="18"/>
                <w:szCs w:val="18"/>
              </w:rPr>
              <w:t xml:space="preserve"> </w:t>
            </w:r>
            <w:proofErr w:type="spellStart"/>
            <w:r w:rsidRPr="00882D6B">
              <w:rPr>
                <w:rFonts w:ascii="Century Gothic" w:hAnsi="Century Gothic"/>
                <w:spacing w:val="-2"/>
                <w:sz w:val="18"/>
                <w:szCs w:val="18"/>
              </w:rPr>
              <w:t>Maruja</w:t>
            </w:r>
            <w:proofErr w:type="spellEnd"/>
          </w:p>
        </w:tc>
        <w:tc>
          <w:tcPr>
            <w:tcW w:w="992" w:type="dxa"/>
          </w:tcPr>
          <w:p w14:paraId="5603C8C4"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150017348-</w:t>
            </w:r>
            <w:r w:rsidRPr="00882D6B">
              <w:rPr>
                <w:rFonts w:ascii="Century Gothic" w:hAnsi="Century Gothic"/>
                <w:spacing w:val="-10"/>
                <w:w w:val="95"/>
                <w:sz w:val="18"/>
                <w:szCs w:val="18"/>
              </w:rPr>
              <w:t>7</w:t>
            </w:r>
          </w:p>
        </w:tc>
        <w:tc>
          <w:tcPr>
            <w:tcW w:w="1701" w:type="dxa"/>
          </w:tcPr>
          <w:p w14:paraId="6A39F306"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w w:val="105"/>
                <w:sz w:val="18"/>
                <w:szCs w:val="18"/>
              </w:rPr>
              <w:t>Pompeya</w:t>
            </w:r>
            <w:proofErr w:type="spellEnd"/>
          </w:p>
        </w:tc>
        <w:tc>
          <w:tcPr>
            <w:tcW w:w="1570" w:type="dxa"/>
            <w:vMerge/>
            <w:tcBorders>
              <w:top w:val="nil"/>
            </w:tcBorders>
            <w:shd w:val="clear" w:color="auto" w:fill="ECECEC"/>
          </w:tcPr>
          <w:p w14:paraId="4C2D15A1" w14:textId="77777777" w:rsidR="0049294F" w:rsidRPr="00882D6B" w:rsidRDefault="0049294F" w:rsidP="00FE65ED">
            <w:pPr>
              <w:spacing w:line="240" w:lineRule="atLeast"/>
              <w:jc w:val="both"/>
              <w:rPr>
                <w:rFonts w:ascii="Century Gothic" w:hAnsi="Century Gothic"/>
                <w:sz w:val="18"/>
                <w:szCs w:val="18"/>
              </w:rPr>
            </w:pPr>
          </w:p>
        </w:tc>
        <w:tc>
          <w:tcPr>
            <w:tcW w:w="0" w:type="auto"/>
          </w:tcPr>
          <w:p w14:paraId="78A3A344"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70</w:t>
            </w:r>
          </w:p>
        </w:tc>
      </w:tr>
      <w:tr w:rsidR="0049294F" w:rsidRPr="00882D6B" w14:paraId="1AA97AFA" w14:textId="77777777" w:rsidTr="00FE65ED">
        <w:trPr>
          <w:trHeight w:val="638"/>
        </w:trPr>
        <w:tc>
          <w:tcPr>
            <w:tcW w:w="567" w:type="dxa"/>
            <w:shd w:val="clear" w:color="auto" w:fill="ECECEC"/>
          </w:tcPr>
          <w:p w14:paraId="08CA5E3E"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10"/>
                <w:sz w:val="18"/>
                <w:szCs w:val="18"/>
              </w:rPr>
              <w:t>5</w:t>
            </w:r>
          </w:p>
        </w:tc>
        <w:tc>
          <w:tcPr>
            <w:tcW w:w="3261" w:type="dxa"/>
            <w:shd w:val="clear" w:color="auto" w:fill="ECECEC"/>
          </w:tcPr>
          <w:p w14:paraId="568E19BC"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Coquinche</w:t>
            </w:r>
            <w:proofErr w:type="spellEnd"/>
            <w:r w:rsidRPr="00882D6B">
              <w:rPr>
                <w:rFonts w:ascii="Century Gothic" w:hAnsi="Century Gothic"/>
                <w:sz w:val="18"/>
                <w:szCs w:val="18"/>
              </w:rPr>
              <w:tab/>
            </w:r>
            <w:r w:rsidRPr="00882D6B">
              <w:rPr>
                <w:rFonts w:ascii="Century Gothic" w:hAnsi="Century Gothic"/>
                <w:spacing w:val="-4"/>
                <w:sz w:val="18"/>
                <w:szCs w:val="18"/>
              </w:rPr>
              <w:t>Andi</w:t>
            </w:r>
            <w:r w:rsidRPr="00882D6B">
              <w:rPr>
                <w:rFonts w:ascii="Century Gothic" w:hAnsi="Century Gothic"/>
                <w:sz w:val="18"/>
                <w:szCs w:val="18"/>
              </w:rPr>
              <w:tab/>
            </w:r>
            <w:r w:rsidRPr="00882D6B">
              <w:rPr>
                <w:rFonts w:ascii="Century Gothic" w:hAnsi="Century Gothic"/>
                <w:spacing w:val="-2"/>
                <w:sz w:val="18"/>
                <w:szCs w:val="18"/>
              </w:rPr>
              <w:t>Cecilia Norma</w:t>
            </w:r>
          </w:p>
        </w:tc>
        <w:tc>
          <w:tcPr>
            <w:tcW w:w="992" w:type="dxa"/>
            <w:shd w:val="clear" w:color="auto" w:fill="ECECEC"/>
          </w:tcPr>
          <w:p w14:paraId="247E1764"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150060778-</w:t>
            </w:r>
            <w:r w:rsidRPr="00882D6B">
              <w:rPr>
                <w:rFonts w:ascii="Century Gothic" w:hAnsi="Century Gothic"/>
                <w:spacing w:val="-10"/>
                <w:w w:val="95"/>
                <w:sz w:val="18"/>
                <w:szCs w:val="18"/>
              </w:rPr>
              <w:t>1</w:t>
            </w:r>
          </w:p>
        </w:tc>
        <w:tc>
          <w:tcPr>
            <w:tcW w:w="1701" w:type="dxa"/>
            <w:shd w:val="clear" w:color="auto" w:fill="ECECEC"/>
          </w:tcPr>
          <w:p w14:paraId="145425DB"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Toyuca</w:t>
            </w:r>
            <w:proofErr w:type="spellEnd"/>
          </w:p>
        </w:tc>
        <w:tc>
          <w:tcPr>
            <w:tcW w:w="1570" w:type="dxa"/>
            <w:vMerge/>
            <w:tcBorders>
              <w:top w:val="nil"/>
            </w:tcBorders>
            <w:shd w:val="clear" w:color="auto" w:fill="ECECEC"/>
          </w:tcPr>
          <w:p w14:paraId="7B3D03D1" w14:textId="77777777" w:rsidR="0049294F" w:rsidRPr="00882D6B" w:rsidRDefault="0049294F" w:rsidP="00FE65ED">
            <w:pPr>
              <w:spacing w:line="240" w:lineRule="atLeast"/>
              <w:jc w:val="both"/>
              <w:rPr>
                <w:rFonts w:ascii="Century Gothic" w:hAnsi="Century Gothic"/>
                <w:sz w:val="18"/>
                <w:szCs w:val="18"/>
              </w:rPr>
            </w:pPr>
          </w:p>
        </w:tc>
        <w:tc>
          <w:tcPr>
            <w:tcW w:w="0" w:type="auto"/>
            <w:shd w:val="clear" w:color="auto" w:fill="ECECEC"/>
          </w:tcPr>
          <w:p w14:paraId="6EC87125"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64</w:t>
            </w:r>
          </w:p>
        </w:tc>
      </w:tr>
      <w:tr w:rsidR="0049294F" w:rsidRPr="00882D6B" w14:paraId="49FC8BB8" w14:textId="77777777" w:rsidTr="00FE65ED">
        <w:trPr>
          <w:trHeight w:val="633"/>
        </w:trPr>
        <w:tc>
          <w:tcPr>
            <w:tcW w:w="567" w:type="dxa"/>
          </w:tcPr>
          <w:p w14:paraId="72DF76E6"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10"/>
                <w:sz w:val="18"/>
                <w:szCs w:val="18"/>
              </w:rPr>
              <w:t>6</w:t>
            </w:r>
          </w:p>
        </w:tc>
        <w:tc>
          <w:tcPr>
            <w:tcW w:w="3261" w:type="dxa"/>
          </w:tcPr>
          <w:p w14:paraId="01E14A99"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z w:val="18"/>
                <w:szCs w:val="18"/>
              </w:rPr>
              <w:t>Grefa</w:t>
            </w:r>
            <w:proofErr w:type="spellEnd"/>
            <w:r w:rsidRPr="00882D6B">
              <w:rPr>
                <w:rFonts w:ascii="Century Gothic" w:hAnsi="Century Gothic"/>
                <w:spacing w:val="40"/>
                <w:sz w:val="18"/>
                <w:szCs w:val="18"/>
              </w:rPr>
              <w:t xml:space="preserve"> </w:t>
            </w:r>
            <w:proofErr w:type="spellStart"/>
            <w:r w:rsidRPr="00882D6B">
              <w:rPr>
                <w:rFonts w:ascii="Century Gothic" w:hAnsi="Century Gothic"/>
                <w:sz w:val="18"/>
                <w:szCs w:val="18"/>
              </w:rPr>
              <w:t>Mamallacta</w:t>
            </w:r>
            <w:proofErr w:type="spellEnd"/>
            <w:r w:rsidRPr="00882D6B">
              <w:rPr>
                <w:rFonts w:ascii="Century Gothic" w:hAnsi="Century Gothic"/>
                <w:spacing w:val="40"/>
                <w:sz w:val="18"/>
                <w:szCs w:val="18"/>
              </w:rPr>
              <w:t xml:space="preserve"> </w:t>
            </w:r>
            <w:r w:rsidRPr="00882D6B">
              <w:rPr>
                <w:rFonts w:ascii="Century Gothic" w:hAnsi="Century Gothic"/>
                <w:sz w:val="18"/>
                <w:szCs w:val="18"/>
              </w:rPr>
              <w:t xml:space="preserve">Norma </w:t>
            </w:r>
            <w:r w:rsidRPr="00882D6B">
              <w:rPr>
                <w:rFonts w:ascii="Century Gothic" w:hAnsi="Century Gothic"/>
                <w:spacing w:val="-2"/>
                <w:sz w:val="18"/>
                <w:szCs w:val="18"/>
              </w:rPr>
              <w:t>Viviana</w:t>
            </w:r>
          </w:p>
        </w:tc>
        <w:tc>
          <w:tcPr>
            <w:tcW w:w="992" w:type="dxa"/>
          </w:tcPr>
          <w:p w14:paraId="3AF77892"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220013292-</w:t>
            </w:r>
            <w:r w:rsidRPr="00882D6B">
              <w:rPr>
                <w:rFonts w:ascii="Century Gothic" w:hAnsi="Century Gothic"/>
                <w:spacing w:val="-10"/>
                <w:w w:val="95"/>
                <w:sz w:val="18"/>
                <w:szCs w:val="18"/>
              </w:rPr>
              <w:t>2</w:t>
            </w:r>
          </w:p>
        </w:tc>
        <w:tc>
          <w:tcPr>
            <w:tcW w:w="1701" w:type="dxa"/>
          </w:tcPr>
          <w:p w14:paraId="42D93A3B"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4"/>
                <w:sz w:val="18"/>
                <w:szCs w:val="18"/>
              </w:rPr>
              <w:t>12</w:t>
            </w:r>
            <w:r w:rsidRPr="00882D6B">
              <w:rPr>
                <w:rFonts w:ascii="Century Gothic" w:hAnsi="Century Gothic"/>
                <w:spacing w:val="-10"/>
                <w:sz w:val="18"/>
                <w:szCs w:val="18"/>
              </w:rPr>
              <w:t xml:space="preserve"> </w:t>
            </w:r>
            <w:r w:rsidRPr="00882D6B">
              <w:rPr>
                <w:rFonts w:ascii="Century Gothic" w:hAnsi="Century Gothic"/>
                <w:spacing w:val="-4"/>
                <w:sz w:val="18"/>
                <w:szCs w:val="18"/>
              </w:rPr>
              <w:t>de</w:t>
            </w:r>
            <w:r w:rsidRPr="00882D6B">
              <w:rPr>
                <w:rFonts w:ascii="Century Gothic" w:hAnsi="Century Gothic"/>
                <w:spacing w:val="-12"/>
                <w:sz w:val="18"/>
                <w:szCs w:val="18"/>
              </w:rPr>
              <w:t xml:space="preserve"> </w:t>
            </w:r>
            <w:proofErr w:type="spellStart"/>
            <w:r w:rsidRPr="00882D6B">
              <w:rPr>
                <w:rFonts w:ascii="Century Gothic" w:hAnsi="Century Gothic"/>
                <w:spacing w:val="-4"/>
                <w:sz w:val="18"/>
                <w:szCs w:val="18"/>
              </w:rPr>
              <w:t>febrero</w:t>
            </w:r>
            <w:proofErr w:type="spellEnd"/>
          </w:p>
        </w:tc>
        <w:tc>
          <w:tcPr>
            <w:tcW w:w="1570" w:type="dxa"/>
            <w:vMerge/>
            <w:tcBorders>
              <w:top w:val="nil"/>
            </w:tcBorders>
            <w:shd w:val="clear" w:color="auto" w:fill="ECECEC"/>
          </w:tcPr>
          <w:p w14:paraId="229BB4F7" w14:textId="77777777" w:rsidR="0049294F" w:rsidRPr="00882D6B" w:rsidRDefault="0049294F" w:rsidP="00FE65ED">
            <w:pPr>
              <w:spacing w:line="240" w:lineRule="atLeast"/>
              <w:jc w:val="both"/>
              <w:rPr>
                <w:rFonts w:ascii="Century Gothic" w:hAnsi="Century Gothic"/>
                <w:sz w:val="18"/>
                <w:szCs w:val="18"/>
              </w:rPr>
            </w:pPr>
          </w:p>
        </w:tc>
        <w:tc>
          <w:tcPr>
            <w:tcW w:w="0" w:type="auto"/>
          </w:tcPr>
          <w:p w14:paraId="4A7A1ECD"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67</w:t>
            </w:r>
          </w:p>
        </w:tc>
      </w:tr>
      <w:tr w:rsidR="0049294F" w:rsidRPr="00882D6B" w14:paraId="3DA2C60E" w14:textId="77777777" w:rsidTr="00FE65ED">
        <w:trPr>
          <w:trHeight w:val="638"/>
        </w:trPr>
        <w:tc>
          <w:tcPr>
            <w:tcW w:w="567" w:type="dxa"/>
            <w:shd w:val="clear" w:color="auto" w:fill="ECECEC"/>
          </w:tcPr>
          <w:p w14:paraId="7888E53C"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10"/>
                <w:sz w:val="18"/>
                <w:szCs w:val="18"/>
              </w:rPr>
              <w:t>7</w:t>
            </w:r>
          </w:p>
        </w:tc>
        <w:tc>
          <w:tcPr>
            <w:tcW w:w="3261" w:type="dxa"/>
            <w:shd w:val="clear" w:color="auto" w:fill="ECECEC"/>
          </w:tcPr>
          <w:p w14:paraId="36CF355E"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Grefa</w:t>
            </w:r>
            <w:proofErr w:type="spellEnd"/>
            <w:r w:rsidRPr="00882D6B">
              <w:rPr>
                <w:rFonts w:ascii="Century Gothic" w:hAnsi="Century Gothic"/>
                <w:sz w:val="18"/>
                <w:szCs w:val="18"/>
              </w:rPr>
              <w:tab/>
            </w:r>
            <w:r w:rsidRPr="00882D6B">
              <w:rPr>
                <w:rFonts w:ascii="Century Gothic" w:hAnsi="Century Gothic"/>
                <w:spacing w:val="-2"/>
                <w:sz w:val="18"/>
                <w:szCs w:val="18"/>
              </w:rPr>
              <w:t>Alvarado</w:t>
            </w:r>
            <w:r w:rsidRPr="00882D6B">
              <w:rPr>
                <w:rFonts w:ascii="Century Gothic" w:hAnsi="Century Gothic"/>
                <w:sz w:val="18"/>
                <w:szCs w:val="18"/>
              </w:rPr>
              <w:tab/>
            </w:r>
            <w:r w:rsidRPr="00882D6B">
              <w:rPr>
                <w:rFonts w:ascii="Century Gothic" w:hAnsi="Century Gothic"/>
                <w:spacing w:val="-4"/>
                <w:sz w:val="18"/>
                <w:szCs w:val="18"/>
              </w:rPr>
              <w:t xml:space="preserve">Gloria </w:t>
            </w:r>
            <w:r w:rsidRPr="00882D6B">
              <w:rPr>
                <w:rFonts w:ascii="Century Gothic" w:hAnsi="Century Gothic"/>
                <w:spacing w:val="-2"/>
                <w:sz w:val="18"/>
                <w:szCs w:val="18"/>
              </w:rPr>
              <w:t>Margarita</w:t>
            </w:r>
          </w:p>
        </w:tc>
        <w:tc>
          <w:tcPr>
            <w:tcW w:w="992" w:type="dxa"/>
            <w:shd w:val="clear" w:color="auto" w:fill="ECECEC"/>
          </w:tcPr>
          <w:p w14:paraId="463F39AE"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150060779-</w:t>
            </w:r>
            <w:r w:rsidRPr="00882D6B">
              <w:rPr>
                <w:rFonts w:ascii="Century Gothic" w:hAnsi="Century Gothic"/>
                <w:spacing w:val="-10"/>
                <w:w w:val="95"/>
                <w:sz w:val="18"/>
                <w:szCs w:val="18"/>
              </w:rPr>
              <w:t>9</w:t>
            </w:r>
          </w:p>
        </w:tc>
        <w:tc>
          <w:tcPr>
            <w:tcW w:w="1701" w:type="dxa"/>
            <w:shd w:val="clear" w:color="auto" w:fill="ECECEC"/>
          </w:tcPr>
          <w:p w14:paraId="02949C96"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w w:val="105"/>
                <w:sz w:val="18"/>
                <w:szCs w:val="18"/>
              </w:rPr>
              <w:t>Pompeya</w:t>
            </w:r>
            <w:proofErr w:type="spellEnd"/>
          </w:p>
        </w:tc>
        <w:tc>
          <w:tcPr>
            <w:tcW w:w="1570" w:type="dxa"/>
            <w:vMerge/>
            <w:tcBorders>
              <w:top w:val="nil"/>
            </w:tcBorders>
            <w:shd w:val="clear" w:color="auto" w:fill="ECECEC"/>
          </w:tcPr>
          <w:p w14:paraId="1A47C7D7" w14:textId="77777777" w:rsidR="0049294F" w:rsidRPr="00882D6B" w:rsidRDefault="0049294F" w:rsidP="00FE65ED">
            <w:pPr>
              <w:spacing w:line="240" w:lineRule="atLeast"/>
              <w:jc w:val="both"/>
              <w:rPr>
                <w:rFonts w:ascii="Century Gothic" w:hAnsi="Century Gothic"/>
                <w:sz w:val="18"/>
                <w:szCs w:val="18"/>
              </w:rPr>
            </w:pPr>
          </w:p>
        </w:tc>
        <w:tc>
          <w:tcPr>
            <w:tcW w:w="0" w:type="auto"/>
            <w:shd w:val="clear" w:color="auto" w:fill="ECECEC"/>
          </w:tcPr>
          <w:p w14:paraId="4ECA3010"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68</w:t>
            </w:r>
          </w:p>
        </w:tc>
      </w:tr>
      <w:tr w:rsidR="0049294F" w:rsidRPr="00882D6B" w14:paraId="5D986750" w14:textId="77777777" w:rsidTr="00FE65ED">
        <w:trPr>
          <w:trHeight w:val="637"/>
        </w:trPr>
        <w:tc>
          <w:tcPr>
            <w:tcW w:w="567" w:type="dxa"/>
          </w:tcPr>
          <w:p w14:paraId="2894E4AC"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10"/>
                <w:sz w:val="18"/>
                <w:szCs w:val="18"/>
              </w:rPr>
              <w:t>8</w:t>
            </w:r>
          </w:p>
        </w:tc>
        <w:tc>
          <w:tcPr>
            <w:tcW w:w="3261" w:type="dxa"/>
          </w:tcPr>
          <w:p w14:paraId="73156F4D"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Grefa</w:t>
            </w:r>
            <w:proofErr w:type="spellEnd"/>
            <w:r w:rsidRPr="00882D6B">
              <w:rPr>
                <w:rFonts w:ascii="Century Gothic" w:hAnsi="Century Gothic"/>
                <w:sz w:val="18"/>
                <w:szCs w:val="18"/>
              </w:rPr>
              <w:tab/>
            </w:r>
            <w:r w:rsidRPr="00882D6B">
              <w:rPr>
                <w:rFonts w:ascii="Century Gothic" w:hAnsi="Century Gothic"/>
                <w:spacing w:val="-2"/>
                <w:sz w:val="18"/>
                <w:szCs w:val="18"/>
              </w:rPr>
              <w:t>Alvarado</w:t>
            </w:r>
            <w:r w:rsidRPr="00882D6B">
              <w:rPr>
                <w:rFonts w:ascii="Century Gothic" w:hAnsi="Century Gothic"/>
                <w:sz w:val="18"/>
                <w:szCs w:val="18"/>
              </w:rPr>
              <w:tab/>
            </w:r>
            <w:r w:rsidRPr="00882D6B">
              <w:rPr>
                <w:rFonts w:ascii="Century Gothic" w:hAnsi="Century Gothic"/>
                <w:spacing w:val="-2"/>
                <w:sz w:val="18"/>
                <w:szCs w:val="18"/>
              </w:rPr>
              <w:t>Piedad Norma</w:t>
            </w:r>
          </w:p>
        </w:tc>
        <w:tc>
          <w:tcPr>
            <w:tcW w:w="992" w:type="dxa"/>
          </w:tcPr>
          <w:p w14:paraId="185BCE7E"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150016170-</w:t>
            </w:r>
            <w:r w:rsidRPr="00882D6B">
              <w:rPr>
                <w:rFonts w:ascii="Century Gothic" w:hAnsi="Century Gothic"/>
                <w:spacing w:val="-10"/>
                <w:w w:val="95"/>
                <w:sz w:val="18"/>
                <w:szCs w:val="18"/>
              </w:rPr>
              <w:t>6</w:t>
            </w:r>
          </w:p>
        </w:tc>
        <w:tc>
          <w:tcPr>
            <w:tcW w:w="1701" w:type="dxa"/>
          </w:tcPr>
          <w:p w14:paraId="150D7272"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w w:val="105"/>
                <w:sz w:val="18"/>
                <w:szCs w:val="18"/>
              </w:rPr>
              <w:t>Pompeya</w:t>
            </w:r>
            <w:proofErr w:type="spellEnd"/>
          </w:p>
        </w:tc>
        <w:tc>
          <w:tcPr>
            <w:tcW w:w="1570" w:type="dxa"/>
            <w:vMerge/>
            <w:tcBorders>
              <w:top w:val="nil"/>
            </w:tcBorders>
            <w:shd w:val="clear" w:color="auto" w:fill="ECECEC"/>
          </w:tcPr>
          <w:p w14:paraId="3FEC3B82" w14:textId="77777777" w:rsidR="0049294F" w:rsidRPr="00882D6B" w:rsidRDefault="0049294F" w:rsidP="00FE65ED">
            <w:pPr>
              <w:spacing w:line="240" w:lineRule="atLeast"/>
              <w:jc w:val="both"/>
              <w:rPr>
                <w:rFonts w:ascii="Century Gothic" w:hAnsi="Century Gothic"/>
                <w:sz w:val="18"/>
                <w:szCs w:val="18"/>
              </w:rPr>
            </w:pPr>
          </w:p>
        </w:tc>
        <w:tc>
          <w:tcPr>
            <w:tcW w:w="0" w:type="auto"/>
          </w:tcPr>
          <w:p w14:paraId="64B3B7A0"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70</w:t>
            </w:r>
          </w:p>
        </w:tc>
      </w:tr>
      <w:tr w:rsidR="0049294F" w:rsidRPr="00882D6B" w14:paraId="78FADE87" w14:textId="77777777" w:rsidTr="00FE65ED">
        <w:trPr>
          <w:trHeight w:val="633"/>
        </w:trPr>
        <w:tc>
          <w:tcPr>
            <w:tcW w:w="567" w:type="dxa"/>
            <w:shd w:val="clear" w:color="auto" w:fill="ECECEC"/>
          </w:tcPr>
          <w:p w14:paraId="3AC0615F"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10"/>
                <w:sz w:val="18"/>
                <w:szCs w:val="18"/>
              </w:rPr>
              <w:t>9</w:t>
            </w:r>
          </w:p>
        </w:tc>
        <w:tc>
          <w:tcPr>
            <w:tcW w:w="3261" w:type="dxa"/>
            <w:shd w:val="clear" w:color="auto" w:fill="ECECEC"/>
          </w:tcPr>
          <w:p w14:paraId="01645647"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Grefa</w:t>
            </w:r>
            <w:proofErr w:type="spellEnd"/>
            <w:r w:rsidRPr="00882D6B">
              <w:rPr>
                <w:rFonts w:ascii="Century Gothic" w:hAnsi="Century Gothic"/>
                <w:sz w:val="18"/>
                <w:szCs w:val="18"/>
              </w:rPr>
              <w:tab/>
            </w:r>
            <w:proofErr w:type="spellStart"/>
            <w:r w:rsidRPr="00882D6B">
              <w:rPr>
                <w:rFonts w:ascii="Century Gothic" w:hAnsi="Century Gothic"/>
                <w:spacing w:val="-2"/>
                <w:sz w:val="18"/>
                <w:szCs w:val="18"/>
              </w:rPr>
              <w:t>Chimbo</w:t>
            </w:r>
            <w:proofErr w:type="spellEnd"/>
            <w:r w:rsidRPr="00882D6B">
              <w:rPr>
                <w:rFonts w:ascii="Century Gothic" w:hAnsi="Century Gothic"/>
                <w:sz w:val="18"/>
                <w:szCs w:val="18"/>
              </w:rPr>
              <w:tab/>
            </w:r>
            <w:r w:rsidRPr="00882D6B">
              <w:rPr>
                <w:rFonts w:ascii="Century Gothic" w:hAnsi="Century Gothic"/>
                <w:spacing w:val="-2"/>
                <w:sz w:val="18"/>
                <w:szCs w:val="18"/>
              </w:rPr>
              <w:t>Margarita María</w:t>
            </w:r>
          </w:p>
        </w:tc>
        <w:tc>
          <w:tcPr>
            <w:tcW w:w="992" w:type="dxa"/>
            <w:shd w:val="clear" w:color="auto" w:fill="ECECEC"/>
          </w:tcPr>
          <w:p w14:paraId="014E9054"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150016095-</w:t>
            </w:r>
            <w:r w:rsidRPr="00882D6B">
              <w:rPr>
                <w:rFonts w:ascii="Century Gothic" w:hAnsi="Century Gothic"/>
                <w:spacing w:val="-10"/>
                <w:w w:val="95"/>
                <w:sz w:val="18"/>
                <w:szCs w:val="18"/>
              </w:rPr>
              <w:t>5</w:t>
            </w:r>
          </w:p>
        </w:tc>
        <w:tc>
          <w:tcPr>
            <w:tcW w:w="1701" w:type="dxa"/>
            <w:shd w:val="clear" w:color="auto" w:fill="ECECEC"/>
          </w:tcPr>
          <w:p w14:paraId="3E039246"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2"/>
                <w:w w:val="105"/>
                <w:sz w:val="18"/>
                <w:szCs w:val="18"/>
              </w:rPr>
              <w:t>Sacha</w:t>
            </w:r>
          </w:p>
        </w:tc>
        <w:tc>
          <w:tcPr>
            <w:tcW w:w="1570" w:type="dxa"/>
            <w:vMerge/>
            <w:tcBorders>
              <w:top w:val="nil"/>
            </w:tcBorders>
            <w:shd w:val="clear" w:color="auto" w:fill="ECECEC"/>
          </w:tcPr>
          <w:p w14:paraId="2A0F6FC4" w14:textId="77777777" w:rsidR="0049294F" w:rsidRPr="00882D6B" w:rsidRDefault="0049294F" w:rsidP="00FE65ED">
            <w:pPr>
              <w:spacing w:line="240" w:lineRule="atLeast"/>
              <w:jc w:val="both"/>
              <w:rPr>
                <w:rFonts w:ascii="Century Gothic" w:hAnsi="Century Gothic"/>
                <w:sz w:val="18"/>
                <w:szCs w:val="18"/>
              </w:rPr>
            </w:pPr>
          </w:p>
        </w:tc>
        <w:tc>
          <w:tcPr>
            <w:tcW w:w="0" w:type="auto"/>
            <w:shd w:val="clear" w:color="auto" w:fill="ECECEC"/>
          </w:tcPr>
          <w:p w14:paraId="2D3F85C0"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50</w:t>
            </w:r>
          </w:p>
        </w:tc>
      </w:tr>
      <w:tr w:rsidR="0049294F" w:rsidRPr="00882D6B" w14:paraId="4FE8FB3B" w14:textId="77777777" w:rsidTr="00FE65ED">
        <w:trPr>
          <w:trHeight w:val="638"/>
        </w:trPr>
        <w:tc>
          <w:tcPr>
            <w:tcW w:w="567" w:type="dxa"/>
          </w:tcPr>
          <w:p w14:paraId="4B37E1B2"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t>10</w:t>
            </w:r>
          </w:p>
        </w:tc>
        <w:tc>
          <w:tcPr>
            <w:tcW w:w="3261" w:type="dxa"/>
          </w:tcPr>
          <w:p w14:paraId="39DA3EDC"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Grefa</w:t>
            </w:r>
            <w:proofErr w:type="spellEnd"/>
            <w:r w:rsidRPr="00882D6B">
              <w:rPr>
                <w:rFonts w:ascii="Century Gothic" w:hAnsi="Century Gothic"/>
                <w:sz w:val="18"/>
                <w:szCs w:val="18"/>
              </w:rPr>
              <w:tab/>
            </w:r>
            <w:proofErr w:type="spellStart"/>
            <w:r w:rsidRPr="00882D6B">
              <w:rPr>
                <w:rFonts w:ascii="Century Gothic" w:hAnsi="Century Gothic"/>
                <w:spacing w:val="-2"/>
                <w:sz w:val="18"/>
                <w:szCs w:val="18"/>
              </w:rPr>
              <w:t>Machoa</w:t>
            </w:r>
            <w:proofErr w:type="spellEnd"/>
            <w:r w:rsidRPr="00882D6B">
              <w:rPr>
                <w:rFonts w:ascii="Century Gothic" w:hAnsi="Century Gothic"/>
                <w:sz w:val="18"/>
                <w:szCs w:val="18"/>
              </w:rPr>
              <w:tab/>
            </w:r>
            <w:r w:rsidRPr="00882D6B">
              <w:rPr>
                <w:rFonts w:ascii="Century Gothic" w:hAnsi="Century Gothic"/>
                <w:spacing w:val="-2"/>
                <w:sz w:val="18"/>
                <w:szCs w:val="18"/>
              </w:rPr>
              <w:t xml:space="preserve">Violeta </w:t>
            </w:r>
            <w:r w:rsidRPr="00882D6B">
              <w:rPr>
                <w:rFonts w:ascii="Century Gothic" w:hAnsi="Century Gothic"/>
                <w:spacing w:val="-2"/>
                <w:w w:val="105"/>
                <w:sz w:val="18"/>
                <w:szCs w:val="18"/>
              </w:rPr>
              <w:t>Fabiola</w:t>
            </w:r>
          </w:p>
        </w:tc>
        <w:tc>
          <w:tcPr>
            <w:tcW w:w="992" w:type="dxa"/>
          </w:tcPr>
          <w:p w14:paraId="04AA458F"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150011606-</w:t>
            </w:r>
            <w:r w:rsidRPr="00882D6B">
              <w:rPr>
                <w:rFonts w:ascii="Century Gothic" w:hAnsi="Century Gothic"/>
                <w:spacing w:val="-10"/>
                <w:w w:val="95"/>
                <w:sz w:val="18"/>
                <w:szCs w:val="18"/>
              </w:rPr>
              <w:t>4</w:t>
            </w:r>
          </w:p>
        </w:tc>
        <w:tc>
          <w:tcPr>
            <w:tcW w:w="1701" w:type="dxa"/>
          </w:tcPr>
          <w:p w14:paraId="133B24F1"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w w:val="105"/>
                <w:sz w:val="18"/>
                <w:szCs w:val="18"/>
              </w:rPr>
              <w:t>Huataracu</w:t>
            </w:r>
            <w:proofErr w:type="spellEnd"/>
          </w:p>
        </w:tc>
        <w:tc>
          <w:tcPr>
            <w:tcW w:w="1570" w:type="dxa"/>
            <w:vMerge/>
            <w:tcBorders>
              <w:top w:val="nil"/>
            </w:tcBorders>
            <w:shd w:val="clear" w:color="auto" w:fill="ECECEC"/>
          </w:tcPr>
          <w:p w14:paraId="5F04E88C" w14:textId="77777777" w:rsidR="0049294F" w:rsidRPr="00882D6B" w:rsidRDefault="0049294F" w:rsidP="00FE65ED">
            <w:pPr>
              <w:spacing w:line="240" w:lineRule="atLeast"/>
              <w:jc w:val="both"/>
              <w:rPr>
                <w:rFonts w:ascii="Century Gothic" w:hAnsi="Century Gothic"/>
                <w:sz w:val="18"/>
                <w:szCs w:val="18"/>
              </w:rPr>
            </w:pPr>
          </w:p>
        </w:tc>
        <w:tc>
          <w:tcPr>
            <w:tcW w:w="0" w:type="auto"/>
          </w:tcPr>
          <w:p w14:paraId="5A5A2923"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78</w:t>
            </w:r>
          </w:p>
        </w:tc>
      </w:tr>
      <w:tr w:rsidR="0049294F" w:rsidRPr="00882D6B" w14:paraId="3C65DB70" w14:textId="77777777" w:rsidTr="00FE65ED">
        <w:trPr>
          <w:trHeight w:val="637"/>
        </w:trPr>
        <w:tc>
          <w:tcPr>
            <w:tcW w:w="567" w:type="dxa"/>
            <w:shd w:val="clear" w:color="auto" w:fill="ECECEC"/>
          </w:tcPr>
          <w:p w14:paraId="37FAE645"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t>11</w:t>
            </w:r>
          </w:p>
        </w:tc>
        <w:tc>
          <w:tcPr>
            <w:tcW w:w="3261" w:type="dxa"/>
            <w:shd w:val="clear" w:color="auto" w:fill="ECECEC"/>
          </w:tcPr>
          <w:p w14:paraId="2F60A4C2"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Grefa</w:t>
            </w:r>
            <w:proofErr w:type="spellEnd"/>
            <w:r w:rsidRPr="00882D6B">
              <w:rPr>
                <w:rFonts w:ascii="Century Gothic" w:hAnsi="Century Gothic"/>
                <w:sz w:val="18"/>
                <w:szCs w:val="18"/>
              </w:rPr>
              <w:tab/>
            </w:r>
            <w:proofErr w:type="spellStart"/>
            <w:r w:rsidRPr="00882D6B">
              <w:rPr>
                <w:rFonts w:ascii="Century Gothic" w:hAnsi="Century Gothic"/>
                <w:spacing w:val="-2"/>
                <w:sz w:val="18"/>
                <w:szCs w:val="18"/>
              </w:rPr>
              <w:t>Mamallacta</w:t>
            </w:r>
            <w:proofErr w:type="spellEnd"/>
            <w:r w:rsidRPr="00882D6B">
              <w:rPr>
                <w:rFonts w:ascii="Century Gothic" w:hAnsi="Century Gothic"/>
                <w:sz w:val="18"/>
                <w:szCs w:val="18"/>
              </w:rPr>
              <w:tab/>
            </w:r>
            <w:r w:rsidRPr="00882D6B">
              <w:rPr>
                <w:rFonts w:ascii="Century Gothic" w:hAnsi="Century Gothic"/>
                <w:spacing w:val="-8"/>
                <w:sz w:val="18"/>
                <w:szCs w:val="18"/>
              </w:rPr>
              <w:t xml:space="preserve">Sara </w:t>
            </w:r>
            <w:r w:rsidRPr="00882D6B">
              <w:rPr>
                <w:rFonts w:ascii="Century Gothic" w:hAnsi="Century Gothic"/>
                <w:spacing w:val="-2"/>
                <w:sz w:val="18"/>
                <w:szCs w:val="18"/>
              </w:rPr>
              <w:t>Carola</w:t>
            </w:r>
          </w:p>
        </w:tc>
        <w:tc>
          <w:tcPr>
            <w:tcW w:w="992" w:type="dxa"/>
            <w:shd w:val="clear" w:color="auto" w:fill="ECECEC"/>
          </w:tcPr>
          <w:p w14:paraId="299D6917"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150020166-</w:t>
            </w:r>
            <w:r w:rsidRPr="00882D6B">
              <w:rPr>
                <w:rFonts w:ascii="Century Gothic" w:hAnsi="Century Gothic"/>
                <w:spacing w:val="-10"/>
                <w:w w:val="95"/>
                <w:sz w:val="18"/>
                <w:szCs w:val="18"/>
              </w:rPr>
              <w:t>8</w:t>
            </w:r>
          </w:p>
        </w:tc>
        <w:tc>
          <w:tcPr>
            <w:tcW w:w="1701" w:type="dxa"/>
            <w:shd w:val="clear" w:color="auto" w:fill="ECECEC"/>
          </w:tcPr>
          <w:p w14:paraId="16D55D31"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4"/>
                <w:sz w:val="18"/>
                <w:szCs w:val="18"/>
              </w:rPr>
              <w:t>12</w:t>
            </w:r>
            <w:r w:rsidRPr="00882D6B">
              <w:rPr>
                <w:rFonts w:ascii="Century Gothic" w:hAnsi="Century Gothic"/>
                <w:spacing w:val="-10"/>
                <w:sz w:val="18"/>
                <w:szCs w:val="18"/>
              </w:rPr>
              <w:t xml:space="preserve"> </w:t>
            </w:r>
            <w:r w:rsidRPr="00882D6B">
              <w:rPr>
                <w:rFonts w:ascii="Century Gothic" w:hAnsi="Century Gothic"/>
                <w:spacing w:val="-4"/>
                <w:sz w:val="18"/>
                <w:szCs w:val="18"/>
              </w:rPr>
              <w:t>de</w:t>
            </w:r>
            <w:r w:rsidRPr="00882D6B">
              <w:rPr>
                <w:rFonts w:ascii="Century Gothic" w:hAnsi="Century Gothic"/>
                <w:spacing w:val="-12"/>
                <w:sz w:val="18"/>
                <w:szCs w:val="18"/>
              </w:rPr>
              <w:t xml:space="preserve"> </w:t>
            </w:r>
            <w:proofErr w:type="spellStart"/>
            <w:r w:rsidRPr="00882D6B">
              <w:rPr>
                <w:rFonts w:ascii="Century Gothic" w:hAnsi="Century Gothic"/>
                <w:spacing w:val="-4"/>
                <w:sz w:val="18"/>
                <w:szCs w:val="18"/>
              </w:rPr>
              <w:t>Febrero</w:t>
            </w:r>
            <w:proofErr w:type="spellEnd"/>
          </w:p>
        </w:tc>
        <w:tc>
          <w:tcPr>
            <w:tcW w:w="1570" w:type="dxa"/>
            <w:vMerge/>
            <w:tcBorders>
              <w:top w:val="nil"/>
            </w:tcBorders>
            <w:shd w:val="clear" w:color="auto" w:fill="ECECEC"/>
          </w:tcPr>
          <w:p w14:paraId="1264DF5E" w14:textId="77777777" w:rsidR="0049294F" w:rsidRPr="00882D6B" w:rsidRDefault="0049294F" w:rsidP="00FE65ED">
            <w:pPr>
              <w:spacing w:line="240" w:lineRule="atLeast"/>
              <w:jc w:val="both"/>
              <w:rPr>
                <w:rFonts w:ascii="Century Gothic" w:hAnsi="Century Gothic"/>
                <w:sz w:val="18"/>
                <w:szCs w:val="18"/>
              </w:rPr>
            </w:pPr>
          </w:p>
        </w:tc>
        <w:tc>
          <w:tcPr>
            <w:tcW w:w="0" w:type="auto"/>
            <w:shd w:val="clear" w:color="auto" w:fill="ECECEC"/>
          </w:tcPr>
          <w:p w14:paraId="42D9E653"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66</w:t>
            </w:r>
          </w:p>
        </w:tc>
      </w:tr>
      <w:tr w:rsidR="0049294F" w:rsidRPr="00882D6B" w14:paraId="65C359B4" w14:textId="77777777" w:rsidTr="00FE65ED">
        <w:trPr>
          <w:trHeight w:val="398"/>
        </w:trPr>
        <w:tc>
          <w:tcPr>
            <w:tcW w:w="567" w:type="dxa"/>
          </w:tcPr>
          <w:p w14:paraId="2AA036FF"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t>12</w:t>
            </w:r>
          </w:p>
        </w:tc>
        <w:tc>
          <w:tcPr>
            <w:tcW w:w="3261" w:type="dxa"/>
          </w:tcPr>
          <w:p w14:paraId="5F6AB046"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6"/>
                <w:sz w:val="18"/>
                <w:szCs w:val="18"/>
              </w:rPr>
              <w:t>Grefa</w:t>
            </w:r>
            <w:proofErr w:type="spellEnd"/>
            <w:r w:rsidRPr="00882D6B">
              <w:rPr>
                <w:rFonts w:ascii="Century Gothic" w:hAnsi="Century Gothic"/>
                <w:spacing w:val="-8"/>
                <w:sz w:val="18"/>
                <w:szCs w:val="18"/>
              </w:rPr>
              <w:t xml:space="preserve"> </w:t>
            </w:r>
            <w:proofErr w:type="spellStart"/>
            <w:r w:rsidRPr="00882D6B">
              <w:rPr>
                <w:rFonts w:ascii="Century Gothic" w:hAnsi="Century Gothic"/>
                <w:spacing w:val="-6"/>
                <w:sz w:val="18"/>
                <w:szCs w:val="18"/>
              </w:rPr>
              <w:t>Tanguila</w:t>
            </w:r>
            <w:proofErr w:type="spellEnd"/>
            <w:r w:rsidRPr="00882D6B">
              <w:rPr>
                <w:rFonts w:ascii="Century Gothic" w:hAnsi="Century Gothic"/>
                <w:spacing w:val="-9"/>
                <w:sz w:val="18"/>
                <w:szCs w:val="18"/>
              </w:rPr>
              <w:t xml:space="preserve"> </w:t>
            </w:r>
            <w:r w:rsidRPr="00882D6B">
              <w:rPr>
                <w:rFonts w:ascii="Century Gothic" w:hAnsi="Century Gothic"/>
                <w:spacing w:val="-6"/>
                <w:sz w:val="18"/>
                <w:szCs w:val="18"/>
              </w:rPr>
              <w:t>Inés</w:t>
            </w:r>
            <w:r w:rsidRPr="00882D6B">
              <w:rPr>
                <w:rFonts w:ascii="Century Gothic" w:hAnsi="Century Gothic"/>
                <w:spacing w:val="-7"/>
                <w:sz w:val="18"/>
                <w:szCs w:val="18"/>
              </w:rPr>
              <w:t xml:space="preserve"> </w:t>
            </w:r>
            <w:r w:rsidRPr="00882D6B">
              <w:rPr>
                <w:rFonts w:ascii="Century Gothic" w:hAnsi="Century Gothic"/>
                <w:spacing w:val="-6"/>
                <w:sz w:val="18"/>
                <w:szCs w:val="18"/>
              </w:rPr>
              <w:t>María</w:t>
            </w:r>
          </w:p>
        </w:tc>
        <w:tc>
          <w:tcPr>
            <w:tcW w:w="992" w:type="dxa"/>
          </w:tcPr>
          <w:p w14:paraId="1AF94CE4"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150016170-</w:t>
            </w:r>
            <w:r w:rsidRPr="00882D6B">
              <w:rPr>
                <w:rFonts w:ascii="Century Gothic" w:hAnsi="Century Gothic"/>
                <w:spacing w:val="-10"/>
                <w:w w:val="95"/>
                <w:sz w:val="18"/>
                <w:szCs w:val="18"/>
              </w:rPr>
              <w:t>6</w:t>
            </w:r>
          </w:p>
        </w:tc>
        <w:tc>
          <w:tcPr>
            <w:tcW w:w="1701" w:type="dxa"/>
          </w:tcPr>
          <w:p w14:paraId="69078A09"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Sardina</w:t>
            </w:r>
            <w:proofErr w:type="spellEnd"/>
          </w:p>
        </w:tc>
        <w:tc>
          <w:tcPr>
            <w:tcW w:w="1570" w:type="dxa"/>
            <w:vMerge/>
            <w:tcBorders>
              <w:top w:val="nil"/>
            </w:tcBorders>
            <w:shd w:val="clear" w:color="auto" w:fill="ECECEC"/>
          </w:tcPr>
          <w:p w14:paraId="614778D9" w14:textId="77777777" w:rsidR="0049294F" w:rsidRPr="00882D6B" w:rsidRDefault="0049294F" w:rsidP="00FE65ED">
            <w:pPr>
              <w:spacing w:line="240" w:lineRule="atLeast"/>
              <w:jc w:val="both"/>
              <w:rPr>
                <w:rFonts w:ascii="Century Gothic" w:hAnsi="Century Gothic"/>
                <w:sz w:val="18"/>
                <w:szCs w:val="18"/>
              </w:rPr>
            </w:pPr>
          </w:p>
        </w:tc>
        <w:tc>
          <w:tcPr>
            <w:tcW w:w="0" w:type="auto"/>
          </w:tcPr>
          <w:p w14:paraId="0DF40729"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45</w:t>
            </w:r>
          </w:p>
        </w:tc>
      </w:tr>
      <w:tr w:rsidR="0049294F" w:rsidRPr="00882D6B" w14:paraId="123E61FE" w14:textId="77777777" w:rsidTr="00FE65ED">
        <w:trPr>
          <w:trHeight w:val="398"/>
        </w:trPr>
        <w:tc>
          <w:tcPr>
            <w:tcW w:w="567" w:type="dxa"/>
            <w:shd w:val="clear" w:color="auto" w:fill="ECECEC"/>
          </w:tcPr>
          <w:p w14:paraId="125535DF"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t>13</w:t>
            </w:r>
          </w:p>
        </w:tc>
        <w:tc>
          <w:tcPr>
            <w:tcW w:w="3261" w:type="dxa"/>
            <w:shd w:val="clear" w:color="auto" w:fill="ECECEC"/>
          </w:tcPr>
          <w:p w14:paraId="6A005991"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z w:val="18"/>
                <w:szCs w:val="18"/>
              </w:rPr>
              <w:t>Huatatoca</w:t>
            </w:r>
            <w:proofErr w:type="spellEnd"/>
            <w:r w:rsidRPr="00882D6B">
              <w:rPr>
                <w:rFonts w:ascii="Century Gothic" w:hAnsi="Century Gothic"/>
                <w:spacing w:val="14"/>
                <w:sz w:val="18"/>
                <w:szCs w:val="18"/>
              </w:rPr>
              <w:t xml:space="preserve"> </w:t>
            </w:r>
            <w:r w:rsidRPr="00882D6B">
              <w:rPr>
                <w:rFonts w:ascii="Century Gothic" w:hAnsi="Century Gothic"/>
                <w:sz w:val="18"/>
                <w:szCs w:val="18"/>
              </w:rPr>
              <w:t>Dahua</w:t>
            </w:r>
            <w:r w:rsidRPr="00882D6B">
              <w:rPr>
                <w:rFonts w:ascii="Century Gothic" w:hAnsi="Century Gothic"/>
                <w:spacing w:val="7"/>
                <w:sz w:val="18"/>
                <w:szCs w:val="18"/>
              </w:rPr>
              <w:t xml:space="preserve"> </w:t>
            </w:r>
            <w:proofErr w:type="spellStart"/>
            <w:r w:rsidRPr="00882D6B">
              <w:rPr>
                <w:rFonts w:ascii="Century Gothic" w:hAnsi="Century Gothic"/>
                <w:spacing w:val="-4"/>
                <w:sz w:val="18"/>
                <w:szCs w:val="18"/>
              </w:rPr>
              <w:t>Bethy</w:t>
            </w:r>
            <w:proofErr w:type="spellEnd"/>
          </w:p>
        </w:tc>
        <w:tc>
          <w:tcPr>
            <w:tcW w:w="992" w:type="dxa"/>
            <w:shd w:val="clear" w:color="auto" w:fill="ECECEC"/>
          </w:tcPr>
          <w:p w14:paraId="2A78FA4D"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150010910-</w:t>
            </w:r>
            <w:r w:rsidRPr="00882D6B">
              <w:rPr>
                <w:rFonts w:ascii="Century Gothic" w:hAnsi="Century Gothic"/>
                <w:spacing w:val="-10"/>
                <w:w w:val="95"/>
                <w:sz w:val="18"/>
                <w:szCs w:val="18"/>
              </w:rPr>
              <w:t>1</w:t>
            </w:r>
          </w:p>
        </w:tc>
        <w:tc>
          <w:tcPr>
            <w:tcW w:w="1701" w:type="dxa"/>
            <w:shd w:val="clear" w:color="auto" w:fill="ECECEC"/>
          </w:tcPr>
          <w:p w14:paraId="7E2721A7"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w w:val="105"/>
                <w:sz w:val="18"/>
                <w:szCs w:val="18"/>
              </w:rPr>
              <w:t>Huataracu</w:t>
            </w:r>
            <w:proofErr w:type="spellEnd"/>
          </w:p>
        </w:tc>
        <w:tc>
          <w:tcPr>
            <w:tcW w:w="1570" w:type="dxa"/>
            <w:vMerge/>
            <w:tcBorders>
              <w:top w:val="nil"/>
            </w:tcBorders>
            <w:shd w:val="clear" w:color="auto" w:fill="ECECEC"/>
          </w:tcPr>
          <w:p w14:paraId="3E430106" w14:textId="77777777" w:rsidR="0049294F" w:rsidRPr="00882D6B" w:rsidRDefault="0049294F" w:rsidP="00FE65ED">
            <w:pPr>
              <w:spacing w:line="240" w:lineRule="atLeast"/>
              <w:jc w:val="both"/>
              <w:rPr>
                <w:rFonts w:ascii="Century Gothic" w:hAnsi="Century Gothic"/>
                <w:sz w:val="18"/>
                <w:szCs w:val="18"/>
              </w:rPr>
            </w:pPr>
          </w:p>
        </w:tc>
        <w:tc>
          <w:tcPr>
            <w:tcW w:w="0" w:type="auto"/>
            <w:shd w:val="clear" w:color="auto" w:fill="ECECEC"/>
          </w:tcPr>
          <w:p w14:paraId="2B8B18AD"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68</w:t>
            </w:r>
          </w:p>
        </w:tc>
      </w:tr>
      <w:tr w:rsidR="0049294F" w:rsidRPr="00882D6B" w14:paraId="6AF9BAFA" w14:textId="77777777" w:rsidTr="00FE65ED">
        <w:trPr>
          <w:trHeight w:val="397"/>
        </w:trPr>
        <w:tc>
          <w:tcPr>
            <w:tcW w:w="567" w:type="dxa"/>
          </w:tcPr>
          <w:p w14:paraId="7E420923"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t>14</w:t>
            </w:r>
          </w:p>
        </w:tc>
        <w:tc>
          <w:tcPr>
            <w:tcW w:w="3261" w:type="dxa"/>
          </w:tcPr>
          <w:p w14:paraId="466588F0"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6"/>
                <w:sz w:val="18"/>
                <w:szCs w:val="18"/>
              </w:rPr>
              <w:t>Lanza</w:t>
            </w:r>
            <w:r w:rsidRPr="00882D6B">
              <w:rPr>
                <w:rFonts w:ascii="Century Gothic" w:hAnsi="Century Gothic"/>
                <w:spacing w:val="-13"/>
                <w:sz w:val="18"/>
                <w:szCs w:val="18"/>
              </w:rPr>
              <w:t xml:space="preserve"> </w:t>
            </w:r>
            <w:r w:rsidRPr="00882D6B">
              <w:rPr>
                <w:rFonts w:ascii="Century Gothic" w:hAnsi="Century Gothic"/>
                <w:spacing w:val="-6"/>
                <w:sz w:val="18"/>
                <w:szCs w:val="18"/>
              </w:rPr>
              <w:t>Avilés Elva</w:t>
            </w:r>
            <w:r w:rsidRPr="00882D6B">
              <w:rPr>
                <w:rFonts w:ascii="Century Gothic" w:hAnsi="Century Gothic"/>
                <w:spacing w:val="-12"/>
                <w:sz w:val="18"/>
                <w:szCs w:val="18"/>
              </w:rPr>
              <w:t xml:space="preserve"> </w:t>
            </w:r>
            <w:r w:rsidRPr="00882D6B">
              <w:rPr>
                <w:rFonts w:ascii="Century Gothic" w:hAnsi="Century Gothic"/>
                <w:spacing w:val="-6"/>
                <w:sz w:val="18"/>
                <w:szCs w:val="18"/>
              </w:rPr>
              <w:t>Zoraida</w:t>
            </w:r>
          </w:p>
        </w:tc>
        <w:tc>
          <w:tcPr>
            <w:tcW w:w="992" w:type="dxa"/>
          </w:tcPr>
          <w:p w14:paraId="40433787"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150012949-</w:t>
            </w:r>
            <w:r w:rsidRPr="00882D6B">
              <w:rPr>
                <w:rFonts w:ascii="Century Gothic" w:hAnsi="Century Gothic"/>
                <w:spacing w:val="-10"/>
                <w:w w:val="95"/>
                <w:sz w:val="18"/>
                <w:szCs w:val="18"/>
              </w:rPr>
              <w:t>7</w:t>
            </w:r>
          </w:p>
        </w:tc>
        <w:tc>
          <w:tcPr>
            <w:tcW w:w="1701" w:type="dxa"/>
          </w:tcPr>
          <w:p w14:paraId="6DB615CD"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Parutuyacu</w:t>
            </w:r>
            <w:proofErr w:type="spellEnd"/>
          </w:p>
        </w:tc>
        <w:tc>
          <w:tcPr>
            <w:tcW w:w="1570" w:type="dxa"/>
            <w:vMerge/>
            <w:tcBorders>
              <w:top w:val="nil"/>
            </w:tcBorders>
            <w:shd w:val="clear" w:color="auto" w:fill="ECECEC"/>
          </w:tcPr>
          <w:p w14:paraId="7D6F388E" w14:textId="77777777" w:rsidR="0049294F" w:rsidRPr="00882D6B" w:rsidRDefault="0049294F" w:rsidP="00FE65ED">
            <w:pPr>
              <w:spacing w:line="240" w:lineRule="atLeast"/>
              <w:jc w:val="both"/>
              <w:rPr>
                <w:rFonts w:ascii="Century Gothic" w:hAnsi="Century Gothic"/>
                <w:sz w:val="18"/>
                <w:szCs w:val="18"/>
              </w:rPr>
            </w:pPr>
          </w:p>
        </w:tc>
        <w:tc>
          <w:tcPr>
            <w:tcW w:w="0" w:type="auto"/>
          </w:tcPr>
          <w:p w14:paraId="2ED98CC2"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67</w:t>
            </w:r>
          </w:p>
        </w:tc>
      </w:tr>
    </w:tbl>
    <w:tbl>
      <w:tblPr>
        <w:tblStyle w:val="TableNormal"/>
        <w:tblpPr w:leftFromText="141" w:rightFromText="141" w:vertAnchor="text" w:horzAnchor="margin" w:tblpXSpec="center" w:tblpY="4"/>
        <w:tblW w:w="85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3261"/>
        <w:gridCol w:w="992"/>
        <w:gridCol w:w="1701"/>
        <w:gridCol w:w="1574"/>
        <w:gridCol w:w="425"/>
      </w:tblGrid>
      <w:tr w:rsidR="0049294F" w:rsidRPr="00882D6B" w14:paraId="5A70B3E0" w14:textId="77777777" w:rsidTr="00FE65ED">
        <w:trPr>
          <w:trHeight w:val="397"/>
        </w:trPr>
        <w:tc>
          <w:tcPr>
            <w:tcW w:w="562" w:type="dxa"/>
            <w:shd w:val="clear" w:color="auto" w:fill="ECECEC"/>
          </w:tcPr>
          <w:p w14:paraId="1ADF312B"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t>15</w:t>
            </w:r>
          </w:p>
        </w:tc>
        <w:tc>
          <w:tcPr>
            <w:tcW w:w="3261" w:type="dxa"/>
            <w:shd w:val="clear" w:color="auto" w:fill="ECECEC"/>
          </w:tcPr>
          <w:p w14:paraId="7F6DF012"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2"/>
                <w:sz w:val="18"/>
                <w:szCs w:val="18"/>
              </w:rPr>
              <w:t>López</w:t>
            </w:r>
            <w:r w:rsidRPr="00882D6B">
              <w:rPr>
                <w:rFonts w:ascii="Century Gothic" w:hAnsi="Century Gothic"/>
                <w:spacing w:val="-11"/>
                <w:sz w:val="18"/>
                <w:szCs w:val="18"/>
              </w:rPr>
              <w:t xml:space="preserve"> </w:t>
            </w:r>
            <w:r w:rsidRPr="00882D6B">
              <w:rPr>
                <w:rFonts w:ascii="Century Gothic" w:hAnsi="Century Gothic"/>
                <w:spacing w:val="-2"/>
                <w:sz w:val="18"/>
                <w:szCs w:val="18"/>
              </w:rPr>
              <w:t>Vega</w:t>
            </w:r>
            <w:r w:rsidRPr="00882D6B">
              <w:rPr>
                <w:rFonts w:ascii="Century Gothic" w:hAnsi="Century Gothic"/>
                <w:spacing w:val="-13"/>
                <w:sz w:val="18"/>
                <w:szCs w:val="18"/>
              </w:rPr>
              <w:t xml:space="preserve"> </w:t>
            </w:r>
            <w:r w:rsidRPr="00882D6B">
              <w:rPr>
                <w:rFonts w:ascii="Century Gothic" w:hAnsi="Century Gothic"/>
                <w:spacing w:val="-2"/>
                <w:sz w:val="18"/>
                <w:szCs w:val="18"/>
              </w:rPr>
              <w:t>Luz</w:t>
            </w:r>
            <w:r w:rsidRPr="00882D6B">
              <w:rPr>
                <w:rFonts w:ascii="Century Gothic" w:hAnsi="Century Gothic"/>
                <w:spacing w:val="-11"/>
                <w:sz w:val="18"/>
                <w:szCs w:val="18"/>
              </w:rPr>
              <w:t xml:space="preserve"> </w:t>
            </w:r>
            <w:r w:rsidRPr="00882D6B">
              <w:rPr>
                <w:rFonts w:ascii="Century Gothic" w:hAnsi="Century Gothic"/>
                <w:spacing w:val="-4"/>
                <w:sz w:val="18"/>
                <w:szCs w:val="18"/>
              </w:rPr>
              <w:t>María</w:t>
            </w:r>
          </w:p>
        </w:tc>
        <w:tc>
          <w:tcPr>
            <w:tcW w:w="992" w:type="dxa"/>
            <w:shd w:val="clear" w:color="auto" w:fill="ECECEC"/>
          </w:tcPr>
          <w:p w14:paraId="379FDE3F"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170618028-</w:t>
            </w:r>
            <w:r w:rsidRPr="00882D6B">
              <w:rPr>
                <w:rFonts w:ascii="Century Gothic" w:hAnsi="Century Gothic"/>
                <w:spacing w:val="-10"/>
                <w:w w:val="95"/>
                <w:sz w:val="18"/>
                <w:szCs w:val="18"/>
              </w:rPr>
              <w:t>6</w:t>
            </w:r>
          </w:p>
        </w:tc>
        <w:tc>
          <w:tcPr>
            <w:tcW w:w="1701" w:type="dxa"/>
            <w:shd w:val="clear" w:color="auto" w:fill="ECECEC"/>
          </w:tcPr>
          <w:p w14:paraId="0B1DEC89"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2"/>
                <w:sz w:val="18"/>
                <w:szCs w:val="18"/>
              </w:rPr>
              <w:t>Rumipamba</w:t>
            </w:r>
          </w:p>
        </w:tc>
        <w:tc>
          <w:tcPr>
            <w:tcW w:w="1574" w:type="dxa"/>
            <w:vMerge w:val="restart"/>
            <w:shd w:val="clear" w:color="auto" w:fill="ECECEC"/>
          </w:tcPr>
          <w:p w14:paraId="1607E87D" w14:textId="77777777" w:rsidR="0049294F" w:rsidRPr="00882D6B" w:rsidRDefault="0049294F" w:rsidP="00FE65ED">
            <w:pPr>
              <w:spacing w:line="240" w:lineRule="atLeast"/>
              <w:jc w:val="both"/>
              <w:rPr>
                <w:rFonts w:ascii="Century Gothic" w:hAnsi="Century Gothic"/>
                <w:sz w:val="18"/>
                <w:szCs w:val="18"/>
              </w:rPr>
            </w:pPr>
          </w:p>
        </w:tc>
        <w:tc>
          <w:tcPr>
            <w:tcW w:w="425" w:type="dxa"/>
            <w:shd w:val="clear" w:color="auto" w:fill="ECECEC"/>
          </w:tcPr>
          <w:p w14:paraId="486EB709"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69</w:t>
            </w:r>
          </w:p>
        </w:tc>
      </w:tr>
      <w:tr w:rsidR="0049294F" w:rsidRPr="00882D6B" w14:paraId="28A01CC9" w14:textId="77777777" w:rsidTr="00FE65ED">
        <w:trPr>
          <w:trHeight w:val="633"/>
        </w:trPr>
        <w:tc>
          <w:tcPr>
            <w:tcW w:w="562" w:type="dxa"/>
          </w:tcPr>
          <w:p w14:paraId="30B18FE3"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t>16</w:t>
            </w:r>
          </w:p>
        </w:tc>
        <w:tc>
          <w:tcPr>
            <w:tcW w:w="3261" w:type="dxa"/>
          </w:tcPr>
          <w:p w14:paraId="26E9C671"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Pauchi</w:t>
            </w:r>
            <w:proofErr w:type="spellEnd"/>
            <w:r w:rsidRPr="00882D6B">
              <w:rPr>
                <w:rFonts w:ascii="Century Gothic" w:hAnsi="Century Gothic"/>
                <w:sz w:val="18"/>
                <w:szCs w:val="18"/>
              </w:rPr>
              <w:tab/>
            </w:r>
            <w:proofErr w:type="spellStart"/>
            <w:r w:rsidRPr="00882D6B">
              <w:rPr>
                <w:rFonts w:ascii="Century Gothic" w:hAnsi="Century Gothic"/>
                <w:spacing w:val="-2"/>
                <w:sz w:val="18"/>
                <w:szCs w:val="18"/>
              </w:rPr>
              <w:t>Tanguila</w:t>
            </w:r>
            <w:proofErr w:type="spellEnd"/>
            <w:r w:rsidRPr="00882D6B">
              <w:rPr>
                <w:rFonts w:ascii="Century Gothic" w:hAnsi="Century Gothic"/>
                <w:sz w:val="18"/>
                <w:szCs w:val="18"/>
              </w:rPr>
              <w:tab/>
            </w:r>
            <w:r w:rsidRPr="00882D6B">
              <w:rPr>
                <w:rFonts w:ascii="Century Gothic" w:hAnsi="Century Gothic"/>
                <w:spacing w:val="-6"/>
                <w:sz w:val="18"/>
                <w:szCs w:val="18"/>
              </w:rPr>
              <w:t xml:space="preserve">Mirian </w:t>
            </w:r>
            <w:r w:rsidRPr="00882D6B">
              <w:rPr>
                <w:rFonts w:ascii="Century Gothic" w:hAnsi="Century Gothic"/>
                <w:spacing w:val="-2"/>
                <w:sz w:val="18"/>
                <w:szCs w:val="18"/>
              </w:rPr>
              <w:t>Piedad</w:t>
            </w:r>
          </w:p>
        </w:tc>
        <w:tc>
          <w:tcPr>
            <w:tcW w:w="992" w:type="dxa"/>
          </w:tcPr>
          <w:p w14:paraId="716EA1C2"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150027180-</w:t>
            </w:r>
            <w:r w:rsidRPr="00882D6B">
              <w:rPr>
                <w:rFonts w:ascii="Century Gothic" w:hAnsi="Century Gothic"/>
                <w:spacing w:val="-10"/>
                <w:w w:val="95"/>
                <w:sz w:val="18"/>
                <w:szCs w:val="18"/>
              </w:rPr>
              <w:t>2</w:t>
            </w:r>
          </w:p>
        </w:tc>
        <w:tc>
          <w:tcPr>
            <w:tcW w:w="1701" w:type="dxa"/>
          </w:tcPr>
          <w:p w14:paraId="3C407EF8"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w w:val="105"/>
                <w:sz w:val="18"/>
                <w:szCs w:val="18"/>
              </w:rPr>
              <w:t>Huataracu</w:t>
            </w:r>
            <w:proofErr w:type="spellEnd"/>
          </w:p>
        </w:tc>
        <w:tc>
          <w:tcPr>
            <w:tcW w:w="1574" w:type="dxa"/>
            <w:vMerge/>
            <w:tcBorders>
              <w:top w:val="nil"/>
            </w:tcBorders>
            <w:shd w:val="clear" w:color="auto" w:fill="ECECEC"/>
          </w:tcPr>
          <w:p w14:paraId="1153D4BA" w14:textId="77777777" w:rsidR="0049294F" w:rsidRPr="00882D6B" w:rsidRDefault="0049294F" w:rsidP="00FE65ED">
            <w:pPr>
              <w:spacing w:line="240" w:lineRule="atLeast"/>
              <w:jc w:val="both"/>
              <w:rPr>
                <w:rFonts w:ascii="Century Gothic" w:hAnsi="Century Gothic"/>
                <w:sz w:val="18"/>
                <w:szCs w:val="18"/>
              </w:rPr>
            </w:pPr>
          </w:p>
        </w:tc>
        <w:tc>
          <w:tcPr>
            <w:tcW w:w="425" w:type="dxa"/>
          </w:tcPr>
          <w:p w14:paraId="581494DF"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39</w:t>
            </w:r>
          </w:p>
        </w:tc>
      </w:tr>
      <w:tr w:rsidR="0049294F" w:rsidRPr="00882D6B" w14:paraId="6715DAD5" w14:textId="77777777" w:rsidTr="00FE65ED">
        <w:trPr>
          <w:trHeight w:val="637"/>
        </w:trPr>
        <w:tc>
          <w:tcPr>
            <w:tcW w:w="562" w:type="dxa"/>
            <w:shd w:val="clear" w:color="auto" w:fill="ECECEC"/>
          </w:tcPr>
          <w:p w14:paraId="217D0278"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t>17</w:t>
            </w:r>
          </w:p>
        </w:tc>
        <w:tc>
          <w:tcPr>
            <w:tcW w:w="3261" w:type="dxa"/>
            <w:shd w:val="clear" w:color="auto" w:fill="ECECEC"/>
          </w:tcPr>
          <w:p w14:paraId="53D478F4"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2"/>
                <w:sz w:val="18"/>
                <w:szCs w:val="18"/>
              </w:rPr>
              <w:t>Simbaña</w:t>
            </w:r>
            <w:r w:rsidRPr="00882D6B">
              <w:rPr>
                <w:rFonts w:ascii="Century Gothic" w:hAnsi="Century Gothic"/>
                <w:sz w:val="18"/>
                <w:szCs w:val="18"/>
              </w:rPr>
              <w:tab/>
            </w:r>
            <w:r w:rsidRPr="00882D6B">
              <w:rPr>
                <w:rFonts w:ascii="Century Gothic" w:hAnsi="Century Gothic"/>
                <w:spacing w:val="-2"/>
                <w:sz w:val="18"/>
                <w:szCs w:val="18"/>
              </w:rPr>
              <w:t>Ashanga</w:t>
            </w:r>
            <w:r w:rsidRPr="00882D6B">
              <w:rPr>
                <w:rFonts w:ascii="Century Gothic" w:hAnsi="Century Gothic"/>
                <w:sz w:val="18"/>
                <w:szCs w:val="18"/>
              </w:rPr>
              <w:tab/>
            </w:r>
            <w:proofErr w:type="spellStart"/>
            <w:r w:rsidRPr="00882D6B">
              <w:rPr>
                <w:rFonts w:ascii="Century Gothic" w:hAnsi="Century Gothic"/>
                <w:spacing w:val="-6"/>
                <w:sz w:val="18"/>
                <w:szCs w:val="18"/>
              </w:rPr>
              <w:t>Enma</w:t>
            </w:r>
            <w:proofErr w:type="spellEnd"/>
            <w:r w:rsidRPr="00882D6B">
              <w:rPr>
                <w:rFonts w:ascii="Century Gothic" w:hAnsi="Century Gothic"/>
                <w:spacing w:val="-6"/>
                <w:sz w:val="18"/>
                <w:szCs w:val="18"/>
              </w:rPr>
              <w:t xml:space="preserve"> </w:t>
            </w:r>
            <w:r w:rsidRPr="00882D6B">
              <w:rPr>
                <w:rFonts w:ascii="Century Gothic" w:hAnsi="Century Gothic"/>
                <w:spacing w:val="-2"/>
                <w:sz w:val="18"/>
                <w:szCs w:val="18"/>
              </w:rPr>
              <w:t>Maruja</w:t>
            </w:r>
          </w:p>
        </w:tc>
        <w:tc>
          <w:tcPr>
            <w:tcW w:w="992" w:type="dxa"/>
            <w:shd w:val="clear" w:color="auto" w:fill="ECECEC"/>
          </w:tcPr>
          <w:p w14:paraId="19310DCC"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150042285-</w:t>
            </w:r>
            <w:r w:rsidRPr="00882D6B">
              <w:rPr>
                <w:rFonts w:ascii="Century Gothic" w:hAnsi="Century Gothic"/>
                <w:spacing w:val="-10"/>
                <w:w w:val="95"/>
                <w:sz w:val="18"/>
                <w:szCs w:val="18"/>
              </w:rPr>
              <w:t>0</w:t>
            </w:r>
          </w:p>
        </w:tc>
        <w:tc>
          <w:tcPr>
            <w:tcW w:w="1701" w:type="dxa"/>
            <w:shd w:val="clear" w:color="auto" w:fill="ECECEC"/>
          </w:tcPr>
          <w:p w14:paraId="09EB06D5"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z w:val="18"/>
                <w:szCs w:val="18"/>
              </w:rPr>
              <w:t>Pompeya</w:t>
            </w:r>
            <w:r w:rsidRPr="00882D6B">
              <w:rPr>
                <w:rFonts w:ascii="Century Gothic" w:hAnsi="Century Gothic"/>
                <w:spacing w:val="4"/>
                <w:sz w:val="18"/>
                <w:szCs w:val="18"/>
              </w:rPr>
              <w:t xml:space="preserve"> </w:t>
            </w:r>
            <w:r w:rsidRPr="00882D6B">
              <w:rPr>
                <w:rFonts w:ascii="Century Gothic" w:hAnsi="Century Gothic"/>
                <w:spacing w:val="-2"/>
                <w:sz w:val="18"/>
                <w:szCs w:val="18"/>
              </w:rPr>
              <w:t>Chicta</w:t>
            </w:r>
          </w:p>
        </w:tc>
        <w:tc>
          <w:tcPr>
            <w:tcW w:w="1574" w:type="dxa"/>
            <w:vMerge/>
            <w:tcBorders>
              <w:top w:val="nil"/>
            </w:tcBorders>
            <w:shd w:val="clear" w:color="auto" w:fill="ECECEC"/>
          </w:tcPr>
          <w:p w14:paraId="1871C3F1" w14:textId="77777777" w:rsidR="0049294F" w:rsidRPr="00882D6B" w:rsidRDefault="0049294F" w:rsidP="00FE65ED">
            <w:pPr>
              <w:spacing w:line="240" w:lineRule="atLeast"/>
              <w:jc w:val="both"/>
              <w:rPr>
                <w:rFonts w:ascii="Century Gothic" w:hAnsi="Century Gothic"/>
                <w:sz w:val="18"/>
                <w:szCs w:val="18"/>
              </w:rPr>
            </w:pPr>
          </w:p>
        </w:tc>
        <w:tc>
          <w:tcPr>
            <w:tcW w:w="425" w:type="dxa"/>
            <w:shd w:val="clear" w:color="auto" w:fill="ECECEC"/>
          </w:tcPr>
          <w:p w14:paraId="5F76AE9E"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74</w:t>
            </w:r>
          </w:p>
        </w:tc>
      </w:tr>
      <w:tr w:rsidR="0049294F" w:rsidRPr="00882D6B" w14:paraId="38CE5709" w14:textId="77777777" w:rsidTr="00FE65ED">
        <w:trPr>
          <w:trHeight w:val="398"/>
        </w:trPr>
        <w:tc>
          <w:tcPr>
            <w:tcW w:w="562" w:type="dxa"/>
          </w:tcPr>
          <w:p w14:paraId="4C790BBF"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t>18</w:t>
            </w:r>
          </w:p>
        </w:tc>
        <w:tc>
          <w:tcPr>
            <w:tcW w:w="3261" w:type="dxa"/>
          </w:tcPr>
          <w:p w14:paraId="5AC48D94"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Tanguila</w:t>
            </w:r>
            <w:proofErr w:type="spellEnd"/>
            <w:r w:rsidRPr="00882D6B">
              <w:rPr>
                <w:rFonts w:ascii="Century Gothic" w:hAnsi="Century Gothic"/>
                <w:spacing w:val="-11"/>
                <w:sz w:val="18"/>
                <w:szCs w:val="18"/>
              </w:rPr>
              <w:t xml:space="preserve"> </w:t>
            </w:r>
            <w:r w:rsidRPr="00882D6B">
              <w:rPr>
                <w:rFonts w:ascii="Century Gothic" w:hAnsi="Century Gothic"/>
                <w:spacing w:val="-2"/>
                <w:sz w:val="18"/>
                <w:szCs w:val="18"/>
              </w:rPr>
              <w:t>Grefa</w:t>
            </w:r>
            <w:r w:rsidRPr="00882D6B">
              <w:rPr>
                <w:rFonts w:ascii="Century Gothic" w:hAnsi="Century Gothic"/>
                <w:spacing w:val="-10"/>
                <w:sz w:val="18"/>
                <w:szCs w:val="18"/>
              </w:rPr>
              <w:t xml:space="preserve"> </w:t>
            </w:r>
            <w:r w:rsidRPr="00882D6B">
              <w:rPr>
                <w:rFonts w:ascii="Century Gothic" w:hAnsi="Century Gothic"/>
                <w:spacing w:val="-2"/>
                <w:sz w:val="18"/>
                <w:szCs w:val="18"/>
              </w:rPr>
              <w:t>María</w:t>
            </w:r>
            <w:r w:rsidRPr="00882D6B">
              <w:rPr>
                <w:rFonts w:ascii="Century Gothic" w:hAnsi="Century Gothic"/>
                <w:spacing w:val="-11"/>
                <w:sz w:val="18"/>
                <w:szCs w:val="18"/>
              </w:rPr>
              <w:t xml:space="preserve"> </w:t>
            </w:r>
            <w:proofErr w:type="spellStart"/>
            <w:r w:rsidRPr="00882D6B">
              <w:rPr>
                <w:rFonts w:ascii="Century Gothic" w:hAnsi="Century Gothic"/>
                <w:spacing w:val="-4"/>
                <w:sz w:val="18"/>
                <w:szCs w:val="18"/>
              </w:rPr>
              <w:t>Enma</w:t>
            </w:r>
            <w:proofErr w:type="spellEnd"/>
          </w:p>
        </w:tc>
        <w:tc>
          <w:tcPr>
            <w:tcW w:w="992" w:type="dxa"/>
          </w:tcPr>
          <w:p w14:paraId="417855E2"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150032890-</w:t>
            </w:r>
            <w:r w:rsidRPr="00882D6B">
              <w:rPr>
                <w:rFonts w:ascii="Century Gothic" w:hAnsi="Century Gothic"/>
                <w:spacing w:val="-10"/>
                <w:w w:val="95"/>
                <w:sz w:val="18"/>
                <w:szCs w:val="18"/>
              </w:rPr>
              <w:t>9</w:t>
            </w:r>
          </w:p>
        </w:tc>
        <w:tc>
          <w:tcPr>
            <w:tcW w:w="1701" w:type="dxa"/>
          </w:tcPr>
          <w:p w14:paraId="4083A741"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2"/>
                <w:sz w:val="18"/>
                <w:szCs w:val="18"/>
              </w:rPr>
              <w:t>Sardinas</w:t>
            </w:r>
          </w:p>
        </w:tc>
        <w:tc>
          <w:tcPr>
            <w:tcW w:w="1574" w:type="dxa"/>
            <w:vMerge/>
            <w:tcBorders>
              <w:top w:val="nil"/>
            </w:tcBorders>
            <w:shd w:val="clear" w:color="auto" w:fill="ECECEC"/>
          </w:tcPr>
          <w:p w14:paraId="15B42E86" w14:textId="77777777" w:rsidR="0049294F" w:rsidRPr="00882D6B" w:rsidRDefault="0049294F" w:rsidP="00FE65ED">
            <w:pPr>
              <w:spacing w:line="240" w:lineRule="atLeast"/>
              <w:jc w:val="both"/>
              <w:rPr>
                <w:rFonts w:ascii="Century Gothic" w:hAnsi="Century Gothic"/>
                <w:sz w:val="18"/>
                <w:szCs w:val="18"/>
              </w:rPr>
            </w:pPr>
          </w:p>
        </w:tc>
        <w:tc>
          <w:tcPr>
            <w:tcW w:w="425" w:type="dxa"/>
          </w:tcPr>
          <w:p w14:paraId="3C699037"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78</w:t>
            </w:r>
          </w:p>
        </w:tc>
      </w:tr>
      <w:tr w:rsidR="0049294F" w:rsidRPr="00882D6B" w14:paraId="123130DC" w14:textId="77777777" w:rsidTr="00FE65ED">
        <w:trPr>
          <w:trHeight w:val="398"/>
        </w:trPr>
        <w:tc>
          <w:tcPr>
            <w:tcW w:w="562" w:type="dxa"/>
            <w:shd w:val="clear" w:color="auto" w:fill="ECECEC"/>
          </w:tcPr>
          <w:p w14:paraId="5EEDD1EE"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t>19</w:t>
            </w:r>
          </w:p>
        </w:tc>
        <w:tc>
          <w:tcPr>
            <w:tcW w:w="3261" w:type="dxa"/>
            <w:shd w:val="clear" w:color="auto" w:fill="ECECEC"/>
          </w:tcPr>
          <w:p w14:paraId="649B733F"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8"/>
                <w:sz w:val="18"/>
                <w:szCs w:val="18"/>
              </w:rPr>
              <w:t>Timbelo</w:t>
            </w:r>
            <w:proofErr w:type="spellEnd"/>
            <w:r w:rsidRPr="00882D6B">
              <w:rPr>
                <w:rFonts w:ascii="Century Gothic" w:hAnsi="Century Gothic"/>
                <w:spacing w:val="-15"/>
                <w:sz w:val="18"/>
                <w:szCs w:val="18"/>
              </w:rPr>
              <w:t xml:space="preserve"> </w:t>
            </w:r>
            <w:proofErr w:type="spellStart"/>
            <w:r w:rsidRPr="00882D6B">
              <w:rPr>
                <w:rFonts w:ascii="Century Gothic" w:hAnsi="Century Gothic"/>
                <w:spacing w:val="-8"/>
                <w:sz w:val="18"/>
                <w:szCs w:val="18"/>
              </w:rPr>
              <w:t>Yuge</w:t>
            </w:r>
            <w:proofErr w:type="spellEnd"/>
            <w:r w:rsidRPr="00882D6B">
              <w:rPr>
                <w:rFonts w:ascii="Century Gothic" w:hAnsi="Century Gothic"/>
                <w:spacing w:val="-7"/>
                <w:sz w:val="18"/>
                <w:szCs w:val="18"/>
              </w:rPr>
              <w:t xml:space="preserve"> </w:t>
            </w:r>
            <w:r w:rsidRPr="00882D6B">
              <w:rPr>
                <w:rFonts w:ascii="Century Gothic" w:hAnsi="Century Gothic"/>
                <w:spacing w:val="-8"/>
                <w:sz w:val="18"/>
                <w:szCs w:val="18"/>
              </w:rPr>
              <w:t>Esther</w:t>
            </w:r>
            <w:r w:rsidRPr="00882D6B">
              <w:rPr>
                <w:rFonts w:ascii="Century Gothic" w:hAnsi="Century Gothic"/>
                <w:spacing w:val="-17"/>
                <w:sz w:val="18"/>
                <w:szCs w:val="18"/>
              </w:rPr>
              <w:t xml:space="preserve"> </w:t>
            </w:r>
            <w:r w:rsidRPr="00882D6B">
              <w:rPr>
                <w:rFonts w:ascii="Century Gothic" w:hAnsi="Century Gothic"/>
                <w:spacing w:val="-8"/>
                <w:sz w:val="18"/>
                <w:szCs w:val="18"/>
              </w:rPr>
              <w:t>Yolanda</w:t>
            </w:r>
          </w:p>
        </w:tc>
        <w:tc>
          <w:tcPr>
            <w:tcW w:w="992" w:type="dxa"/>
            <w:shd w:val="clear" w:color="auto" w:fill="ECECEC"/>
          </w:tcPr>
          <w:p w14:paraId="3AA12548"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150028887-</w:t>
            </w:r>
            <w:r w:rsidRPr="00882D6B">
              <w:rPr>
                <w:rFonts w:ascii="Century Gothic" w:hAnsi="Century Gothic"/>
                <w:spacing w:val="-10"/>
                <w:w w:val="95"/>
                <w:sz w:val="18"/>
                <w:szCs w:val="18"/>
              </w:rPr>
              <w:t>1</w:t>
            </w:r>
          </w:p>
        </w:tc>
        <w:tc>
          <w:tcPr>
            <w:tcW w:w="1701" w:type="dxa"/>
            <w:shd w:val="clear" w:color="auto" w:fill="ECECEC"/>
          </w:tcPr>
          <w:p w14:paraId="53201C7D"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90"/>
                <w:sz w:val="18"/>
                <w:szCs w:val="18"/>
              </w:rPr>
              <w:t>San</w:t>
            </w:r>
            <w:r w:rsidRPr="00882D6B">
              <w:rPr>
                <w:rFonts w:ascii="Century Gothic" w:hAnsi="Century Gothic"/>
                <w:spacing w:val="-4"/>
                <w:sz w:val="18"/>
                <w:szCs w:val="18"/>
              </w:rPr>
              <w:t xml:space="preserve"> </w:t>
            </w:r>
            <w:r w:rsidRPr="00882D6B">
              <w:rPr>
                <w:rFonts w:ascii="Century Gothic" w:hAnsi="Century Gothic"/>
                <w:spacing w:val="-2"/>
                <w:sz w:val="18"/>
                <w:szCs w:val="18"/>
              </w:rPr>
              <w:t>Carlos</w:t>
            </w:r>
          </w:p>
        </w:tc>
        <w:tc>
          <w:tcPr>
            <w:tcW w:w="1574" w:type="dxa"/>
            <w:vMerge/>
            <w:tcBorders>
              <w:top w:val="nil"/>
            </w:tcBorders>
            <w:shd w:val="clear" w:color="auto" w:fill="ECECEC"/>
          </w:tcPr>
          <w:p w14:paraId="11F1BF61" w14:textId="77777777" w:rsidR="0049294F" w:rsidRPr="00882D6B" w:rsidRDefault="0049294F" w:rsidP="00FE65ED">
            <w:pPr>
              <w:spacing w:line="240" w:lineRule="atLeast"/>
              <w:jc w:val="both"/>
              <w:rPr>
                <w:rFonts w:ascii="Century Gothic" w:hAnsi="Century Gothic"/>
                <w:sz w:val="18"/>
                <w:szCs w:val="18"/>
              </w:rPr>
            </w:pPr>
          </w:p>
        </w:tc>
        <w:tc>
          <w:tcPr>
            <w:tcW w:w="425" w:type="dxa"/>
            <w:shd w:val="clear" w:color="auto" w:fill="ECECEC"/>
          </w:tcPr>
          <w:p w14:paraId="0247A929"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65</w:t>
            </w:r>
          </w:p>
        </w:tc>
      </w:tr>
      <w:tr w:rsidR="0049294F" w:rsidRPr="00882D6B" w14:paraId="4BD8B522" w14:textId="77777777" w:rsidTr="00FE65ED">
        <w:trPr>
          <w:trHeight w:val="638"/>
        </w:trPr>
        <w:tc>
          <w:tcPr>
            <w:tcW w:w="562" w:type="dxa"/>
          </w:tcPr>
          <w:p w14:paraId="042C2CCA"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t>20</w:t>
            </w:r>
          </w:p>
        </w:tc>
        <w:tc>
          <w:tcPr>
            <w:tcW w:w="3261" w:type="dxa"/>
          </w:tcPr>
          <w:p w14:paraId="2DBEE2BA"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105"/>
                <w:sz w:val="18"/>
                <w:szCs w:val="18"/>
              </w:rPr>
              <w:t>Yumbo</w:t>
            </w:r>
            <w:r w:rsidRPr="00882D6B">
              <w:rPr>
                <w:rFonts w:ascii="Century Gothic" w:hAnsi="Century Gothic"/>
                <w:spacing w:val="63"/>
                <w:w w:val="105"/>
                <w:sz w:val="18"/>
                <w:szCs w:val="18"/>
              </w:rPr>
              <w:t xml:space="preserve"> </w:t>
            </w:r>
            <w:proofErr w:type="spellStart"/>
            <w:r w:rsidRPr="00882D6B">
              <w:rPr>
                <w:rFonts w:ascii="Century Gothic" w:hAnsi="Century Gothic"/>
                <w:w w:val="105"/>
                <w:sz w:val="18"/>
                <w:szCs w:val="18"/>
              </w:rPr>
              <w:t>Huatatoca</w:t>
            </w:r>
            <w:proofErr w:type="spellEnd"/>
            <w:r w:rsidRPr="00882D6B">
              <w:rPr>
                <w:rFonts w:ascii="Century Gothic" w:hAnsi="Century Gothic"/>
                <w:spacing w:val="62"/>
                <w:w w:val="105"/>
                <w:sz w:val="18"/>
                <w:szCs w:val="18"/>
              </w:rPr>
              <w:t xml:space="preserve"> </w:t>
            </w:r>
            <w:r w:rsidRPr="00882D6B">
              <w:rPr>
                <w:rFonts w:ascii="Century Gothic" w:hAnsi="Century Gothic"/>
                <w:w w:val="105"/>
                <w:sz w:val="18"/>
                <w:szCs w:val="18"/>
              </w:rPr>
              <w:t xml:space="preserve">Roque </w:t>
            </w:r>
            <w:proofErr w:type="spellStart"/>
            <w:r w:rsidRPr="00882D6B">
              <w:rPr>
                <w:rFonts w:ascii="Century Gothic" w:hAnsi="Century Gothic"/>
                <w:spacing w:val="-2"/>
                <w:w w:val="105"/>
                <w:sz w:val="18"/>
                <w:szCs w:val="18"/>
              </w:rPr>
              <w:t>Polico</w:t>
            </w:r>
            <w:proofErr w:type="spellEnd"/>
          </w:p>
        </w:tc>
        <w:tc>
          <w:tcPr>
            <w:tcW w:w="992" w:type="dxa"/>
          </w:tcPr>
          <w:p w14:paraId="0F0CCCE5"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150028887-</w:t>
            </w:r>
            <w:r w:rsidRPr="00882D6B">
              <w:rPr>
                <w:rFonts w:ascii="Century Gothic" w:hAnsi="Century Gothic"/>
                <w:spacing w:val="-10"/>
                <w:w w:val="95"/>
                <w:sz w:val="18"/>
                <w:szCs w:val="18"/>
              </w:rPr>
              <w:t>1</w:t>
            </w:r>
          </w:p>
        </w:tc>
        <w:tc>
          <w:tcPr>
            <w:tcW w:w="1701" w:type="dxa"/>
          </w:tcPr>
          <w:p w14:paraId="791D2011"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90"/>
                <w:sz w:val="18"/>
                <w:szCs w:val="18"/>
              </w:rPr>
              <w:t>San</w:t>
            </w:r>
            <w:r w:rsidRPr="00882D6B">
              <w:rPr>
                <w:rFonts w:ascii="Century Gothic" w:hAnsi="Century Gothic"/>
                <w:spacing w:val="-4"/>
                <w:sz w:val="18"/>
                <w:szCs w:val="18"/>
              </w:rPr>
              <w:t xml:space="preserve"> </w:t>
            </w:r>
            <w:r w:rsidRPr="00882D6B">
              <w:rPr>
                <w:rFonts w:ascii="Century Gothic" w:hAnsi="Century Gothic"/>
                <w:spacing w:val="-2"/>
                <w:sz w:val="18"/>
                <w:szCs w:val="18"/>
              </w:rPr>
              <w:t>Agustín</w:t>
            </w:r>
          </w:p>
        </w:tc>
        <w:tc>
          <w:tcPr>
            <w:tcW w:w="1574" w:type="dxa"/>
            <w:vMerge/>
            <w:tcBorders>
              <w:top w:val="nil"/>
            </w:tcBorders>
            <w:shd w:val="clear" w:color="auto" w:fill="ECECEC"/>
          </w:tcPr>
          <w:p w14:paraId="6D6412D3" w14:textId="77777777" w:rsidR="0049294F" w:rsidRPr="00882D6B" w:rsidRDefault="0049294F" w:rsidP="00FE65ED">
            <w:pPr>
              <w:spacing w:line="240" w:lineRule="atLeast"/>
              <w:jc w:val="both"/>
              <w:rPr>
                <w:rFonts w:ascii="Century Gothic" w:hAnsi="Century Gothic"/>
                <w:sz w:val="18"/>
                <w:szCs w:val="18"/>
              </w:rPr>
            </w:pPr>
          </w:p>
        </w:tc>
        <w:tc>
          <w:tcPr>
            <w:tcW w:w="425" w:type="dxa"/>
          </w:tcPr>
          <w:p w14:paraId="33332329"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67</w:t>
            </w:r>
          </w:p>
        </w:tc>
      </w:tr>
      <w:tr w:rsidR="0049294F" w:rsidRPr="00882D6B" w14:paraId="144EB272" w14:textId="77777777" w:rsidTr="00FE65ED">
        <w:trPr>
          <w:trHeight w:val="633"/>
        </w:trPr>
        <w:tc>
          <w:tcPr>
            <w:tcW w:w="562" w:type="dxa"/>
            <w:shd w:val="clear" w:color="auto" w:fill="ECECEC"/>
          </w:tcPr>
          <w:p w14:paraId="53A9C001"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t>21</w:t>
            </w:r>
          </w:p>
        </w:tc>
        <w:tc>
          <w:tcPr>
            <w:tcW w:w="3261" w:type="dxa"/>
            <w:shd w:val="clear" w:color="auto" w:fill="ECECEC"/>
          </w:tcPr>
          <w:p w14:paraId="3237BA5C"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w w:val="105"/>
                <w:sz w:val="18"/>
                <w:szCs w:val="18"/>
              </w:rPr>
              <w:t>Mamallacta</w:t>
            </w:r>
            <w:proofErr w:type="spellEnd"/>
            <w:r w:rsidRPr="00882D6B">
              <w:rPr>
                <w:rFonts w:ascii="Century Gothic" w:hAnsi="Century Gothic"/>
                <w:sz w:val="18"/>
                <w:szCs w:val="18"/>
              </w:rPr>
              <w:tab/>
            </w:r>
            <w:r w:rsidRPr="00882D6B">
              <w:rPr>
                <w:rFonts w:ascii="Century Gothic" w:hAnsi="Century Gothic"/>
                <w:spacing w:val="-4"/>
                <w:w w:val="105"/>
                <w:sz w:val="18"/>
                <w:szCs w:val="18"/>
              </w:rPr>
              <w:t xml:space="preserve">Chimbo </w:t>
            </w:r>
            <w:r w:rsidRPr="00882D6B">
              <w:rPr>
                <w:rFonts w:ascii="Century Gothic" w:hAnsi="Century Gothic"/>
                <w:w w:val="105"/>
                <w:sz w:val="18"/>
                <w:szCs w:val="18"/>
              </w:rPr>
              <w:t>Carmen</w:t>
            </w:r>
            <w:r w:rsidRPr="00882D6B">
              <w:rPr>
                <w:rFonts w:ascii="Century Gothic" w:hAnsi="Century Gothic"/>
                <w:spacing w:val="-15"/>
                <w:w w:val="105"/>
                <w:sz w:val="18"/>
                <w:szCs w:val="18"/>
              </w:rPr>
              <w:t xml:space="preserve"> </w:t>
            </w:r>
            <w:r w:rsidRPr="00882D6B">
              <w:rPr>
                <w:rFonts w:ascii="Century Gothic" w:hAnsi="Century Gothic"/>
                <w:w w:val="105"/>
                <w:sz w:val="18"/>
                <w:szCs w:val="18"/>
              </w:rPr>
              <w:t>Guadalupe</w:t>
            </w:r>
          </w:p>
        </w:tc>
        <w:tc>
          <w:tcPr>
            <w:tcW w:w="992" w:type="dxa"/>
            <w:shd w:val="clear" w:color="auto" w:fill="ECECEC"/>
          </w:tcPr>
          <w:p w14:paraId="1EF526A7"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85"/>
                <w:sz w:val="18"/>
                <w:szCs w:val="18"/>
              </w:rPr>
              <w:t>150027180-</w:t>
            </w:r>
            <w:r w:rsidRPr="00882D6B">
              <w:rPr>
                <w:rFonts w:ascii="Century Gothic" w:hAnsi="Century Gothic"/>
                <w:spacing w:val="-10"/>
                <w:w w:val="95"/>
                <w:sz w:val="18"/>
                <w:szCs w:val="18"/>
              </w:rPr>
              <w:t>2</w:t>
            </w:r>
          </w:p>
        </w:tc>
        <w:tc>
          <w:tcPr>
            <w:tcW w:w="1701" w:type="dxa"/>
            <w:shd w:val="clear" w:color="auto" w:fill="ECECEC"/>
          </w:tcPr>
          <w:p w14:paraId="3DD8963B"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2"/>
                <w:sz w:val="18"/>
                <w:szCs w:val="18"/>
              </w:rPr>
              <w:t>Sardina</w:t>
            </w:r>
          </w:p>
        </w:tc>
        <w:tc>
          <w:tcPr>
            <w:tcW w:w="1574" w:type="dxa"/>
            <w:vMerge/>
            <w:tcBorders>
              <w:top w:val="nil"/>
            </w:tcBorders>
            <w:shd w:val="clear" w:color="auto" w:fill="ECECEC"/>
          </w:tcPr>
          <w:p w14:paraId="39082CCD" w14:textId="77777777" w:rsidR="0049294F" w:rsidRPr="00882D6B" w:rsidRDefault="0049294F" w:rsidP="00FE65ED">
            <w:pPr>
              <w:spacing w:line="240" w:lineRule="atLeast"/>
              <w:jc w:val="both"/>
              <w:rPr>
                <w:rFonts w:ascii="Century Gothic" w:hAnsi="Century Gothic"/>
                <w:sz w:val="18"/>
                <w:szCs w:val="18"/>
              </w:rPr>
            </w:pPr>
          </w:p>
        </w:tc>
        <w:tc>
          <w:tcPr>
            <w:tcW w:w="425" w:type="dxa"/>
            <w:shd w:val="clear" w:color="auto" w:fill="ECECEC"/>
          </w:tcPr>
          <w:p w14:paraId="09AB865F"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56</w:t>
            </w:r>
          </w:p>
        </w:tc>
      </w:tr>
      <w:tr w:rsidR="0049294F" w:rsidRPr="00882D6B" w14:paraId="565B9E2A" w14:textId="77777777" w:rsidTr="00FE65ED">
        <w:trPr>
          <w:trHeight w:val="638"/>
        </w:trPr>
        <w:tc>
          <w:tcPr>
            <w:tcW w:w="562" w:type="dxa"/>
          </w:tcPr>
          <w:p w14:paraId="2A208147"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t>22</w:t>
            </w:r>
          </w:p>
        </w:tc>
        <w:tc>
          <w:tcPr>
            <w:tcW w:w="3261" w:type="dxa"/>
          </w:tcPr>
          <w:p w14:paraId="3C0C4DAC"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z w:val="18"/>
                <w:szCs w:val="18"/>
              </w:rPr>
              <w:t>Aguinda</w:t>
            </w:r>
            <w:proofErr w:type="spellEnd"/>
            <w:r w:rsidRPr="00882D6B">
              <w:rPr>
                <w:rFonts w:ascii="Century Gothic" w:hAnsi="Century Gothic"/>
                <w:sz w:val="18"/>
                <w:szCs w:val="18"/>
              </w:rPr>
              <w:t xml:space="preserve"> Alvarado Maricela </w:t>
            </w:r>
            <w:r w:rsidRPr="00882D6B">
              <w:rPr>
                <w:rFonts w:ascii="Century Gothic" w:hAnsi="Century Gothic"/>
                <w:spacing w:val="-2"/>
                <w:sz w:val="18"/>
                <w:szCs w:val="18"/>
              </w:rPr>
              <w:t>Marcia</w:t>
            </w:r>
          </w:p>
        </w:tc>
        <w:tc>
          <w:tcPr>
            <w:tcW w:w="992" w:type="dxa"/>
          </w:tcPr>
          <w:p w14:paraId="3F0C80E6"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2"/>
                <w:sz w:val="18"/>
                <w:szCs w:val="18"/>
              </w:rPr>
              <w:t>2200520211</w:t>
            </w:r>
          </w:p>
        </w:tc>
        <w:tc>
          <w:tcPr>
            <w:tcW w:w="1701" w:type="dxa"/>
          </w:tcPr>
          <w:p w14:paraId="5DB9C0FC"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pacing w:val="-2"/>
                <w:sz w:val="18"/>
                <w:szCs w:val="18"/>
              </w:rPr>
              <w:t>Wataraku</w:t>
            </w:r>
            <w:proofErr w:type="spellEnd"/>
          </w:p>
        </w:tc>
        <w:tc>
          <w:tcPr>
            <w:tcW w:w="1574" w:type="dxa"/>
            <w:vMerge/>
            <w:tcBorders>
              <w:top w:val="nil"/>
            </w:tcBorders>
            <w:shd w:val="clear" w:color="auto" w:fill="ECECEC"/>
          </w:tcPr>
          <w:p w14:paraId="3A2D5DB0" w14:textId="77777777" w:rsidR="0049294F" w:rsidRPr="00882D6B" w:rsidRDefault="0049294F" w:rsidP="00FE65ED">
            <w:pPr>
              <w:spacing w:line="240" w:lineRule="atLeast"/>
              <w:jc w:val="both"/>
              <w:rPr>
                <w:rFonts w:ascii="Century Gothic" w:hAnsi="Century Gothic"/>
                <w:sz w:val="18"/>
                <w:szCs w:val="18"/>
              </w:rPr>
            </w:pPr>
          </w:p>
        </w:tc>
        <w:tc>
          <w:tcPr>
            <w:tcW w:w="425" w:type="dxa"/>
          </w:tcPr>
          <w:p w14:paraId="796FF01E"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56</w:t>
            </w:r>
          </w:p>
        </w:tc>
      </w:tr>
      <w:tr w:rsidR="0049294F" w:rsidRPr="00882D6B" w14:paraId="28BCA813" w14:textId="77777777" w:rsidTr="00FE65ED">
        <w:trPr>
          <w:trHeight w:val="637"/>
        </w:trPr>
        <w:tc>
          <w:tcPr>
            <w:tcW w:w="562" w:type="dxa"/>
            <w:shd w:val="clear" w:color="auto" w:fill="ECECEC"/>
          </w:tcPr>
          <w:p w14:paraId="13CFA76C" w14:textId="77777777" w:rsidR="0049294F" w:rsidRPr="00882D6B" w:rsidRDefault="0049294F" w:rsidP="00FE65ED">
            <w:pPr>
              <w:spacing w:line="240" w:lineRule="atLeast"/>
              <w:jc w:val="both"/>
              <w:rPr>
                <w:rFonts w:ascii="Century Gothic" w:hAnsi="Century Gothic"/>
                <w:b/>
                <w:sz w:val="18"/>
                <w:szCs w:val="18"/>
              </w:rPr>
            </w:pPr>
            <w:r w:rsidRPr="00882D6B">
              <w:rPr>
                <w:rFonts w:ascii="Century Gothic" w:hAnsi="Century Gothic"/>
                <w:b/>
                <w:spacing w:val="-5"/>
                <w:sz w:val="18"/>
                <w:szCs w:val="18"/>
              </w:rPr>
              <w:lastRenderedPageBreak/>
              <w:t>23</w:t>
            </w:r>
          </w:p>
        </w:tc>
        <w:tc>
          <w:tcPr>
            <w:tcW w:w="3261" w:type="dxa"/>
            <w:shd w:val="clear" w:color="auto" w:fill="ECECEC"/>
          </w:tcPr>
          <w:p w14:paraId="20569EDF" w14:textId="77777777" w:rsidR="0049294F" w:rsidRPr="00882D6B" w:rsidRDefault="0049294F" w:rsidP="00FE65ED">
            <w:pPr>
              <w:spacing w:line="240" w:lineRule="atLeast"/>
              <w:jc w:val="both"/>
              <w:rPr>
                <w:rFonts w:ascii="Century Gothic" w:hAnsi="Century Gothic"/>
                <w:sz w:val="18"/>
                <w:szCs w:val="18"/>
              </w:rPr>
            </w:pPr>
            <w:proofErr w:type="spellStart"/>
            <w:r w:rsidRPr="00882D6B">
              <w:rPr>
                <w:rFonts w:ascii="Century Gothic" w:hAnsi="Century Gothic"/>
                <w:sz w:val="18"/>
                <w:szCs w:val="18"/>
              </w:rPr>
              <w:t>Shiguango</w:t>
            </w:r>
            <w:proofErr w:type="spellEnd"/>
            <w:r w:rsidRPr="00882D6B">
              <w:rPr>
                <w:rFonts w:ascii="Century Gothic" w:hAnsi="Century Gothic"/>
                <w:spacing w:val="-16"/>
                <w:sz w:val="18"/>
                <w:szCs w:val="18"/>
              </w:rPr>
              <w:t xml:space="preserve"> </w:t>
            </w:r>
            <w:r w:rsidRPr="00882D6B">
              <w:rPr>
                <w:rFonts w:ascii="Century Gothic" w:hAnsi="Century Gothic"/>
                <w:sz w:val="18"/>
                <w:szCs w:val="18"/>
              </w:rPr>
              <w:t>Dahua</w:t>
            </w:r>
            <w:r w:rsidRPr="00882D6B">
              <w:rPr>
                <w:rFonts w:ascii="Century Gothic" w:hAnsi="Century Gothic"/>
                <w:spacing w:val="-20"/>
                <w:sz w:val="18"/>
                <w:szCs w:val="18"/>
              </w:rPr>
              <w:t xml:space="preserve"> </w:t>
            </w:r>
            <w:r w:rsidRPr="00882D6B">
              <w:rPr>
                <w:rFonts w:ascii="Century Gothic" w:hAnsi="Century Gothic"/>
                <w:sz w:val="18"/>
                <w:szCs w:val="18"/>
              </w:rPr>
              <w:t xml:space="preserve">Mercedes </w:t>
            </w:r>
            <w:r w:rsidRPr="00882D6B">
              <w:rPr>
                <w:rFonts w:ascii="Century Gothic" w:hAnsi="Century Gothic"/>
                <w:spacing w:val="-2"/>
                <w:sz w:val="18"/>
                <w:szCs w:val="18"/>
              </w:rPr>
              <w:t>Maruja</w:t>
            </w:r>
          </w:p>
        </w:tc>
        <w:tc>
          <w:tcPr>
            <w:tcW w:w="992" w:type="dxa"/>
            <w:shd w:val="clear" w:color="auto" w:fill="ECECEC"/>
          </w:tcPr>
          <w:p w14:paraId="3619932D"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2"/>
                <w:sz w:val="18"/>
                <w:szCs w:val="18"/>
              </w:rPr>
              <w:t>1500119381</w:t>
            </w:r>
          </w:p>
        </w:tc>
        <w:tc>
          <w:tcPr>
            <w:tcW w:w="1701" w:type="dxa"/>
            <w:shd w:val="clear" w:color="auto" w:fill="ECECEC"/>
          </w:tcPr>
          <w:p w14:paraId="0E2FE7BD"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w w:val="90"/>
                <w:sz w:val="18"/>
                <w:szCs w:val="18"/>
              </w:rPr>
              <w:t>San</w:t>
            </w:r>
            <w:r w:rsidRPr="00882D6B">
              <w:rPr>
                <w:rFonts w:ascii="Century Gothic" w:hAnsi="Century Gothic"/>
                <w:spacing w:val="-4"/>
                <w:sz w:val="18"/>
                <w:szCs w:val="18"/>
              </w:rPr>
              <w:t xml:space="preserve"> </w:t>
            </w:r>
            <w:r w:rsidRPr="00882D6B">
              <w:rPr>
                <w:rFonts w:ascii="Century Gothic" w:hAnsi="Century Gothic"/>
                <w:spacing w:val="-2"/>
                <w:sz w:val="18"/>
                <w:szCs w:val="18"/>
              </w:rPr>
              <w:t>Antonio</w:t>
            </w:r>
          </w:p>
        </w:tc>
        <w:tc>
          <w:tcPr>
            <w:tcW w:w="1574" w:type="dxa"/>
            <w:vMerge/>
            <w:tcBorders>
              <w:top w:val="nil"/>
            </w:tcBorders>
            <w:shd w:val="clear" w:color="auto" w:fill="ECECEC"/>
          </w:tcPr>
          <w:p w14:paraId="5ED9EE96" w14:textId="77777777" w:rsidR="0049294F" w:rsidRPr="00882D6B" w:rsidRDefault="0049294F" w:rsidP="00FE65ED">
            <w:pPr>
              <w:spacing w:line="240" w:lineRule="atLeast"/>
              <w:jc w:val="both"/>
              <w:rPr>
                <w:rFonts w:ascii="Century Gothic" w:hAnsi="Century Gothic"/>
                <w:sz w:val="18"/>
                <w:szCs w:val="18"/>
              </w:rPr>
            </w:pPr>
          </w:p>
        </w:tc>
        <w:tc>
          <w:tcPr>
            <w:tcW w:w="425" w:type="dxa"/>
            <w:shd w:val="clear" w:color="auto" w:fill="ECECEC"/>
          </w:tcPr>
          <w:p w14:paraId="69A2E1C8" w14:textId="77777777" w:rsidR="0049294F" w:rsidRPr="00882D6B" w:rsidRDefault="0049294F" w:rsidP="00FE65ED">
            <w:pPr>
              <w:spacing w:line="240" w:lineRule="atLeast"/>
              <w:jc w:val="both"/>
              <w:rPr>
                <w:rFonts w:ascii="Century Gothic" w:hAnsi="Century Gothic"/>
                <w:sz w:val="18"/>
                <w:szCs w:val="18"/>
              </w:rPr>
            </w:pPr>
            <w:r w:rsidRPr="00882D6B">
              <w:rPr>
                <w:rFonts w:ascii="Century Gothic" w:hAnsi="Century Gothic"/>
                <w:spacing w:val="-5"/>
                <w:sz w:val="18"/>
                <w:szCs w:val="18"/>
              </w:rPr>
              <w:t>54</w:t>
            </w:r>
          </w:p>
        </w:tc>
      </w:tr>
    </w:tbl>
    <w:p w14:paraId="6FCD445C" w14:textId="77777777" w:rsidR="0049294F" w:rsidRPr="00E41315" w:rsidRDefault="0049294F" w:rsidP="00BE66B1">
      <w:pPr>
        <w:jc w:val="both"/>
        <w:rPr>
          <w:rFonts w:ascii="Century Gothic" w:hAnsi="Century Gothic"/>
          <w:kern w:val="0"/>
          <w:sz w:val="20"/>
          <w:szCs w:val="20"/>
          <w:lang w:eastAsia="es-EC"/>
        </w:rPr>
      </w:pPr>
    </w:p>
    <w:p w14:paraId="15BC960A" w14:textId="373F8E16" w:rsidR="00BE66B1"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La población total estimada de 8.085 personas que habitan en las comunas y comunidades </w:t>
      </w:r>
      <w:proofErr w:type="spellStart"/>
      <w:r w:rsidRPr="00E41315">
        <w:rPr>
          <w:rFonts w:ascii="Century Gothic" w:hAnsi="Century Gothic"/>
          <w:kern w:val="0"/>
          <w:sz w:val="20"/>
          <w:szCs w:val="20"/>
          <w:lang w:eastAsia="es-EC"/>
        </w:rPr>
        <w:t>Kichwas</w:t>
      </w:r>
      <w:proofErr w:type="spellEnd"/>
      <w:r w:rsidRPr="00E41315">
        <w:rPr>
          <w:rFonts w:ascii="Century Gothic" w:hAnsi="Century Gothic"/>
          <w:kern w:val="0"/>
          <w:sz w:val="20"/>
          <w:szCs w:val="20"/>
          <w:lang w:eastAsia="es-EC"/>
        </w:rPr>
        <w:t xml:space="preserve"> del cantón La Joya de los Sachas, las cuales se benefician de una atención de partería más segura y dignificada, contribuyendo a la salud materna comunitaria y a la preservación cultural.</w:t>
      </w:r>
    </w:p>
    <w:p w14:paraId="19C39F19" w14:textId="1C3ABAEF"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CLÁUSULA QUINTA. - OBLIGACIONES DE LAS PARTES</w:t>
      </w:r>
      <w:r w:rsidR="00C431E6" w:rsidRPr="00E41315">
        <w:rPr>
          <w:rFonts w:ascii="Century Gothic" w:hAnsi="Century Gothic"/>
          <w:b/>
          <w:bCs/>
          <w:kern w:val="0"/>
          <w:sz w:val="20"/>
          <w:szCs w:val="20"/>
          <w:lang w:eastAsia="es-EC"/>
        </w:rPr>
        <w:t>:</w:t>
      </w:r>
    </w:p>
    <w:p w14:paraId="00BB4273"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5.1. Obligaciones Conjuntas</w:t>
      </w:r>
    </w:p>
    <w:p w14:paraId="2AF0EA61"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Ambas Partes se comprometen a actuar de buena fe en la ejecución del presente Convenio.</w:t>
      </w:r>
    </w:p>
    <w:p w14:paraId="775C5258"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Realizar todos los esfuerzos necesarios para superar cualquier circunstancia de fuerza mayor o caso fortuito que afecte la ejecución del Convenio, notificando a la otra parte en el término de cuarenta y ocho (48) horas.</w:t>
      </w:r>
    </w:p>
    <w:p w14:paraId="2BCFEDC6"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5.2. Obligaciones de la Asociación "PAKARICHIK MAMAKUNA" DE SACHA</w:t>
      </w:r>
    </w:p>
    <w:p w14:paraId="62E18118"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Custodia y Mantenimiento: Garantizar el cuidado, el buen uso, la adecuada custodia y el mantenimiento de los bienes donados (vestimenta y equipos), designando un lugar apropiado y un responsable para su supervisión.</w:t>
      </w:r>
    </w:p>
    <w:p w14:paraId="00227075"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Responsabilidad del Beneficiario (Donatario):</w:t>
      </w:r>
    </w:p>
    <w:p w14:paraId="4440D9D9"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En caso de robo o hurto, poner la denuncia respectiva ante la </w:t>
      </w:r>
      <w:proofErr w:type="gramStart"/>
      <w:r w:rsidRPr="00E41315">
        <w:rPr>
          <w:rFonts w:ascii="Century Gothic" w:hAnsi="Century Gothic"/>
          <w:kern w:val="0"/>
          <w:sz w:val="20"/>
          <w:szCs w:val="20"/>
          <w:lang w:eastAsia="es-EC"/>
        </w:rPr>
        <w:t>Fiscalía General</w:t>
      </w:r>
      <w:proofErr w:type="gramEnd"/>
      <w:r w:rsidRPr="00E41315">
        <w:rPr>
          <w:rFonts w:ascii="Century Gothic" w:hAnsi="Century Gothic"/>
          <w:kern w:val="0"/>
          <w:sz w:val="20"/>
          <w:szCs w:val="20"/>
          <w:lang w:eastAsia="es-EC"/>
        </w:rPr>
        <w:t xml:space="preserve"> del Estado dentro de su jurisdicción e informar por escrito al GADMCJS, adjuntando la denuncia formalizada.</w:t>
      </w:r>
    </w:p>
    <w:p w14:paraId="06F22D28"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En caso de fuerza mayor o caso fortuito que implique la pérdida o daño de los bienes, informar por escrito al GADMCJS, explicando los hechos y anexando los medios probatorios (fotografías y/o videos).</w:t>
      </w:r>
    </w:p>
    <w:p w14:paraId="13BB18CC"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Facilitar la labor de seguimiento y evaluación del GADMCJS y de su Administrador, permitiendo las visitas de constatación.</w:t>
      </w:r>
    </w:p>
    <w:p w14:paraId="0BB3059B"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5.3. Obligaciones del GAD Municipal del Cantón La Joya de los Sachas</w:t>
      </w:r>
    </w:p>
    <w:p w14:paraId="6DEAC753"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Donación: Dar en donación los bienes (vestimentas de parturientas, chalecos identificativos, mochilas, linternas, botas, uniformes médicos, etc.), especificados y adquiridos a través del proyecto.</w:t>
      </w:r>
    </w:p>
    <w:p w14:paraId="62EDA7F2"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Entrega: Entregar los bienes donados, detallados en el informe, dentro de un plazo máximo de 30 días posteriores a la fecha de suscripción del presente Convenio, debiéndose suscribir las respectivas Actas de Entrega-Recepción.</w:t>
      </w:r>
    </w:p>
    <w:p w14:paraId="5250E53A"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Coordinación y Seguimiento: Coordinar todas las acciones necesarias para garantizar la debida ejecución del convenio, dando seguimiento y realizando dos visitas programadas y/o sorpresivas para la constatación del buen uso y utilización de los bienes.</w:t>
      </w:r>
    </w:p>
    <w:p w14:paraId="58FCD7DC" w14:textId="3FD38DAC"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Designación: Designar un Administrador del Convenio, responsable de la gestión y seguimiento.</w:t>
      </w:r>
    </w:p>
    <w:p w14:paraId="76F1FC6B" w14:textId="5B70422A"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lastRenderedPageBreak/>
        <w:t xml:space="preserve">CLÁUSULA SEXTA. </w:t>
      </w:r>
      <w:r w:rsidR="00C431E6" w:rsidRPr="00E41315">
        <w:rPr>
          <w:rFonts w:ascii="Century Gothic" w:hAnsi="Century Gothic"/>
          <w:b/>
          <w:bCs/>
          <w:kern w:val="0"/>
          <w:sz w:val="20"/>
          <w:szCs w:val="20"/>
          <w:lang w:eastAsia="es-EC"/>
        </w:rPr>
        <w:t>–</w:t>
      </w:r>
      <w:r w:rsidRPr="00E41315">
        <w:rPr>
          <w:rFonts w:ascii="Century Gothic" w:hAnsi="Century Gothic"/>
          <w:b/>
          <w:bCs/>
          <w:kern w:val="0"/>
          <w:sz w:val="20"/>
          <w:szCs w:val="20"/>
          <w:lang w:eastAsia="es-EC"/>
        </w:rPr>
        <w:t xml:space="preserve"> PLAZO</w:t>
      </w:r>
      <w:r w:rsidR="00C431E6" w:rsidRPr="00E41315">
        <w:rPr>
          <w:rFonts w:ascii="Century Gothic" w:hAnsi="Century Gothic"/>
          <w:b/>
          <w:bCs/>
          <w:kern w:val="0"/>
          <w:sz w:val="20"/>
          <w:szCs w:val="20"/>
          <w:lang w:eastAsia="es-EC"/>
        </w:rPr>
        <w:t>:</w:t>
      </w:r>
    </w:p>
    <w:p w14:paraId="518CDC34" w14:textId="14222D9B"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El plazo de vigencia del presente Convenio será de DOS (2) AÑOS, contados a partir de la fecha de su suscripción, con la posibilidad de renovación o terminación anticipada de conformidad con las cláusulas subsiguientes.</w:t>
      </w:r>
    </w:p>
    <w:p w14:paraId="23E88DA9" w14:textId="3BC29FD8"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 xml:space="preserve">CLÁUSULA SÉPTIMA. </w:t>
      </w:r>
      <w:r w:rsidR="00C431E6" w:rsidRPr="00E41315">
        <w:rPr>
          <w:rFonts w:ascii="Century Gothic" w:hAnsi="Century Gothic"/>
          <w:b/>
          <w:bCs/>
          <w:kern w:val="0"/>
          <w:sz w:val="20"/>
          <w:szCs w:val="20"/>
          <w:lang w:eastAsia="es-EC"/>
        </w:rPr>
        <w:t>–</w:t>
      </w:r>
      <w:r w:rsidRPr="00E41315">
        <w:rPr>
          <w:rFonts w:ascii="Century Gothic" w:hAnsi="Century Gothic"/>
          <w:b/>
          <w:bCs/>
          <w:kern w:val="0"/>
          <w:sz w:val="20"/>
          <w:szCs w:val="20"/>
          <w:lang w:eastAsia="es-EC"/>
        </w:rPr>
        <w:t xml:space="preserve"> FINANCIAMIENTO</w:t>
      </w:r>
      <w:r w:rsidR="00C431E6" w:rsidRPr="00E41315">
        <w:rPr>
          <w:rFonts w:ascii="Century Gothic" w:hAnsi="Century Gothic"/>
          <w:b/>
          <w:bCs/>
          <w:kern w:val="0"/>
          <w:sz w:val="20"/>
          <w:szCs w:val="20"/>
          <w:lang w:eastAsia="es-EC"/>
        </w:rPr>
        <w:t>:</w:t>
      </w:r>
    </w:p>
    <w:p w14:paraId="3386492F" w14:textId="347AE7C1"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Los bienes objeto de la donación han sido adquiridos por el GADMCJS con recursos provenientes de su presupuesto, conforme a los Compromisos Presupuestarios </w:t>
      </w:r>
      <w:proofErr w:type="spellStart"/>
      <w:r w:rsidRPr="00E41315">
        <w:rPr>
          <w:rFonts w:ascii="Century Gothic" w:hAnsi="Century Gothic"/>
          <w:kern w:val="0"/>
          <w:sz w:val="20"/>
          <w:szCs w:val="20"/>
          <w:lang w:eastAsia="es-EC"/>
        </w:rPr>
        <w:t>Nros</w:t>
      </w:r>
      <w:proofErr w:type="spellEnd"/>
      <w:r w:rsidRPr="00E41315">
        <w:rPr>
          <w:rFonts w:ascii="Century Gothic" w:hAnsi="Century Gothic"/>
          <w:kern w:val="0"/>
          <w:sz w:val="20"/>
          <w:szCs w:val="20"/>
          <w:lang w:eastAsia="es-EC"/>
        </w:rPr>
        <w:t>. 1598 y 1597, por un valor total de CINCO MIL SESENTA Y OCHO CON 74/100 DÓLARES AMERICANOS ($5.068,74 USD). LA ASOCIACIÓN no deberá realizar desembolsos para la adquisición de dichos bienes.</w:t>
      </w:r>
    </w:p>
    <w:p w14:paraId="41B24EF0" w14:textId="6A19991F"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b/>
          <w:bCs/>
          <w:kern w:val="0"/>
          <w:sz w:val="20"/>
          <w:szCs w:val="20"/>
          <w:lang w:eastAsia="es-EC"/>
        </w:rPr>
        <w:t>CLÁUSULA OCTAVA. - ADMINISTRADOR DEL CONVENIO</w:t>
      </w:r>
      <w:r w:rsidR="00C431E6" w:rsidRPr="00E41315">
        <w:rPr>
          <w:rFonts w:ascii="Century Gothic" w:hAnsi="Century Gothic"/>
          <w:kern w:val="0"/>
          <w:sz w:val="20"/>
          <w:szCs w:val="20"/>
          <w:lang w:eastAsia="es-EC"/>
        </w:rPr>
        <w:t>:</w:t>
      </w:r>
    </w:p>
    <w:p w14:paraId="708B363C"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El GADMCJS designará un Administrador del Convenio, quien será responsable de asegurar el cabal y oportuno cumplimiento de todas las obligaciones derivadas del mismo, adoptando las acciones necesarias para su ejecución. Sus responsabilidades incluyen:</w:t>
      </w:r>
    </w:p>
    <w:p w14:paraId="1E8DFA7C" w14:textId="77777777" w:rsidR="00BE66B1"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8.1. Elaborar el Acta de Entrega-Recepción de los bienes donados. </w:t>
      </w:r>
    </w:p>
    <w:p w14:paraId="70BD66E4" w14:textId="77777777" w:rsidR="00BE66B1"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8.2. Reportar a la Máxima Autoridad sobre los aspectos operativos, técnicos y legales que pudieren afectar al cumplimiento del objeto. </w:t>
      </w:r>
    </w:p>
    <w:p w14:paraId="6BA1BB97" w14:textId="77777777" w:rsidR="00BE66B1"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8.3. Administrar y custodiar el expediente del Convenio. </w:t>
      </w:r>
    </w:p>
    <w:p w14:paraId="2A933395" w14:textId="77777777" w:rsidR="00BE66B1"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8.4. Presentar un informe semestral sobre el estado y cumplimiento del Convenio. </w:t>
      </w:r>
    </w:p>
    <w:p w14:paraId="51EDB8CC" w14:textId="77777777" w:rsidR="00BE66B1"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8.5. Elaborar el acta de liquidación y cierre del presente instrumento. </w:t>
      </w:r>
    </w:p>
    <w:p w14:paraId="21F55440" w14:textId="73143B6F"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8.6. El Administrador podrá ser reemplazado en cualquier momento por la autoridad competente del GADMCJS, bastando la notificación a LA ASOCIACIÓN.</w:t>
      </w:r>
    </w:p>
    <w:p w14:paraId="5BADEFC5" w14:textId="6A391738"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CLÁUSULA NOVENA. - RESPONSABILIDADES LABORALES</w:t>
      </w:r>
      <w:r w:rsidR="00C431E6" w:rsidRPr="00E41315">
        <w:rPr>
          <w:rFonts w:ascii="Century Gothic" w:hAnsi="Century Gothic"/>
          <w:b/>
          <w:bCs/>
          <w:kern w:val="0"/>
          <w:sz w:val="20"/>
          <w:szCs w:val="20"/>
          <w:lang w:eastAsia="es-EC"/>
        </w:rPr>
        <w:t>:</w:t>
      </w:r>
    </w:p>
    <w:p w14:paraId="78FD98B1" w14:textId="2B3CAFF6"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Las partes declaran que las obligaciones asumidas mediante este Convenio no generan, ni generan en el futuro, ningún tipo de relación laboral o contractual de servicio entre el GADMCJS y los miembros de LA ASOCIACIÓN, o con el personal que esta emplee. Cada parte asumirá de forma independiente las responsabilidades laborales, sociales, tributarias y civiles que le correspondan por el personal bajo su dependencia o membresía.</w:t>
      </w:r>
    </w:p>
    <w:p w14:paraId="33D7BEA7" w14:textId="52374A6E"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CLÁUSULA DÉCIMA. - EJECUCIÓN DE INVERSIÓN PÚBLICA</w:t>
      </w:r>
      <w:r w:rsidR="00C431E6" w:rsidRPr="00E41315">
        <w:rPr>
          <w:rFonts w:ascii="Century Gothic" w:hAnsi="Century Gothic"/>
          <w:b/>
          <w:bCs/>
          <w:kern w:val="0"/>
          <w:sz w:val="20"/>
          <w:szCs w:val="20"/>
          <w:lang w:eastAsia="es-EC"/>
        </w:rPr>
        <w:t>:</w:t>
      </w:r>
    </w:p>
    <w:p w14:paraId="55AD10CF" w14:textId="6638151A"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La donación de bienes es la fase de ejecución de un proyecto de inversión pública, cuyo cumplimiento está sujeto a los objetivos y metas definidos en la ficha del proyecto. Los bienes donados serán de uso estrictamente público y social para el fortalecimiento de la partería y la medicina ancestral, no pudiendo ser destinados a fines particulares o lucrativos.</w:t>
      </w:r>
    </w:p>
    <w:p w14:paraId="6B6AC66A" w14:textId="5A4B97F5"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CLÁUSULA DÉCIMA PRIMERA. - TERMINACIÓN DEL CONVENIO</w:t>
      </w:r>
      <w:r w:rsidR="00C431E6" w:rsidRPr="00E41315">
        <w:rPr>
          <w:rFonts w:ascii="Century Gothic" w:hAnsi="Century Gothic"/>
          <w:b/>
          <w:bCs/>
          <w:kern w:val="0"/>
          <w:sz w:val="20"/>
          <w:szCs w:val="20"/>
          <w:lang w:eastAsia="es-EC"/>
        </w:rPr>
        <w:t>:</w:t>
      </w:r>
    </w:p>
    <w:p w14:paraId="7A4ABBF4"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El presente Convenio podrá darse por terminado por las siguientes causas:</w:t>
      </w:r>
    </w:p>
    <w:p w14:paraId="0A47F5E1" w14:textId="21118565"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lastRenderedPageBreak/>
        <w:t>11.1. Por el cumplimiento del plazo de duración (Cláusula Sexta). 11.2. Por el incumplimiento grave de una o más de las obligaciones previstas en este Convenio o del Proyecto aprobado, previa notificación. 11.3. Por mutuo acuerdo de las partes, cuando existan circunstancias de orden técnico o económico, fuerza mayor o caso fortuito, que imposibiliten la ejecución. 11.4. Por declaración unilateral y anticipada de cualesquiera de las partes por incumplimiento de la otra, previa notificación dentro del término de 30 días. 11.5. Por sentencia ejecutoriada que declare la nulidad del presente convenio. 11.6. Por así exigirlo el interés público, a criterio justificado del GADMCJS.</w:t>
      </w:r>
    </w:p>
    <w:p w14:paraId="05B06AA5" w14:textId="3837430B"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CLÁUSULA DÉCIMA SEGUNDA. - DIVERGENCIAS Y CONTROVERSIAS</w:t>
      </w:r>
      <w:r w:rsidR="00C431E6" w:rsidRPr="00E41315">
        <w:rPr>
          <w:rFonts w:ascii="Century Gothic" w:hAnsi="Century Gothic"/>
          <w:b/>
          <w:bCs/>
          <w:kern w:val="0"/>
          <w:sz w:val="20"/>
          <w:szCs w:val="20"/>
          <w:lang w:eastAsia="es-EC"/>
        </w:rPr>
        <w:t>:</w:t>
      </w:r>
    </w:p>
    <w:p w14:paraId="51806F5A" w14:textId="3B13BE2F"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Cualquier divergencia o controversia que surja de la aplicación o interpretación del presente Convenio, será resuelta de forma amigable y directa entre las partes. De persistir la controversia, las partes se someterán a la mediación de un centro de mediación legalmente establecido. De no llegar a un acuerdo, se someterán a los jueces competentes de la Función Judicial del Cantón La Joya de los Sachas.</w:t>
      </w:r>
    </w:p>
    <w:p w14:paraId="473CBC6B" w14:textId="5AB68B12"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 xml:space="preserve">CLÁUSULA DÉCIMA TERCERA. </w:t>
      </w:r>
      <w:r w:rsidR="00C431E6" w:rsidRPr="00E41315">
        <w:rPr>
          <w:rFonts w:ascii="Century Gothic" w:hAnsi="Century Gothic"/>
          <w:b/>
          <w:bCs/>
          <w:kern w:val="0"/>
          <w:sz w:val="20"/>
          <w:szCs w:val="20"/>
          <w:lang w:eastAsia="es-EC"/>
        </w:rPr>
        <w:t>–</w:t>
      </w:r>
      <w:r w:rsidRPr="00E41315">
        <w:rPr>
          <w:rFonts w:ascii="Century Gothic" w:hAnsi="Century Gothic"/>
          <w:b/>
          <w:bCs/>
          <w:kern w:val="0"/>
          <w:sz w:val="20"/>
          <w:szCs w:val="20"/>
          <w:lang w:eastAsia="es-EC"/>
        </w:rPr>
        <w:t xml:space="preserve"> MODIFICACIONES</w:t>
      </w:r>
      <w:r w:rsidR="00C431E6" w:rsidRPr="00E41315">
        <w:rPr>
          <w:rFonts w:ascii="Century Gothic" w:hAnsi="Century Gothic"/>
          <w:b/>
          <w:bCs/>
          <w:kern w:val="0"/>
          <w:sz w:val="20"/>
          <w:szCs w:val="20"/>
          <w:lang w:eastAsia="es-EC"/>
        </w:rPr>
        <w:t>:</w:t>
      </w:r>
    </w:p>
    <w:p w14:paraId="45270AE3" w14:textId="6D0A0144"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Cualquier modificación o reforma a las cláusulas del presente Convenio deberá realizarse mediante un Convenio Modificatorio o Adenda, por escrito y con la firma de los representantes legales de ambas partes, previa la emisión de los informes técnicos y jurídicos que justifiquen la modificación.</w:t>
      </w:r>
    </w:p>
    <w:p w14:paraId="05D98661" w14:textId="28020503"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CLÁUSULA DÉCIMA CUARTA. - LIQUIDACIÓN DEL CONVENIO</w:t>
      </w:r>
      <w:r w:rsidR="00C431E6" w:rsidRPr="00E41315">
        <w:rPr>
          <w:rFonts w:ascii="Century Gothic" w:hAnsi="Century Gothic"/>
          <w:b/>
          <w:bCs/>
          <w:kern w:val="0"/>
          <w:sz w:val="20"/>
          <w:szCs w:val="20"/>
          <w:lang w:eastAsia="es-EC"/>
        </w:rPr>
        <w:t>:</w:t>
      </w:r>
    </w:p>
    <w:p w14:paraId="27D889B9" w14:textId="25CE0E5E"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Una vez finalizado el plazo del convenio, o por cualquier otra causa de terminación, se suscribirá entre las partes el Acta de Terminación o Finiquito del Convenio, misma que tendrá como efecto la liquidación de todas las obligaciones que contrajeron, según se hace referencia en las cláusulas precedentes, y se emitirá el informe final del Administrador.</w:t>
      </w:r>
    </w:p>
    <w:p w14:paraId="392855A6" w14:textId="708704E6"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CLÁUSULA DÉCIMA QUINTA. - DOCUMENTOS HABILITANTES</w:t>
      </w:r>
      <w:r w:rsidR="00C431E6" w:rsidRPr="00E41315">
        <w:rPr>
          <w:rFonts w:ascii="Century Gothic" w:hAnsi="Century Gothic"/>
          <w:b/>
          <w:bCs/>
          <w:kern w:val="0"/>
          <w:sz w:val="20"/>
          <w:szCs w:val="20"/>
          <w:lang w:eastAsia="es-EC"/>
        </w:rPr>
        <w:t>:</w:t>
      </w:r>
    </w:p>
    <w:p w14:paraId="23A94DCC" w14:textId="06D3F055"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Forman parte integrante de este Convenio, los documentos que acreditan la calidad de los comparecientes y su capacidad para suscribir el mismo, así como los oficios, memorandos, informes técnicos y jurídicos, y las certificaciones presupuestarias constantes en la cláusula de antecedentes.</w:t>
      </w:r>
    </w:p>
    <w:p w14:paraId="311A4D59" w14:textId="3A9582C2"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 xml:space="preserve">CLÁUSULA DÉCIMA SEXTA. </w:t>
      </w:r>
      <w:r w:rsidR="00C431E6" w:rsidRPr="00E41315">
        <w:rPr>
          <w:rFonts w:ascii="Century Gothic" w:hAnsi="Century Gothic"/>
          <w:b/>
          <w:bCs/>
          <w:kern w:val="0"/>
          <w:sz w:val="20"/>
          <w:szCs w:val="20"/>
          <w:lang w:eastAsia="es-EC"/>
        </w:rPr>
        <w:t>–</w:t>
      </w:r>
      <w:r w:rsidRPr="00E41315">
        <w:rPr>
          <w:rFonts w:ascii="Century Gothic" w:hAnsi="Century Gothic"/>
          <w:b/>
          <w:bCs/>
          <w:kern w:val="0"/>
          <w:sz w:val="20"/>
          <w:szCs w:val="20"/>
          <w:lang w:eastAsia="es-EC"/>
        </w:rPr>
        <w:t xml:space="preserve"> DOMICILIO</w:t>
      </w:r>
      <w:r w:rsidR="00C431E6" w:rsidRPr="00E41315">
        <w:rPr>
          <w:rFonts w:ascii="Century Gothic" w:hAnsi="Century Gothic"/>
          <w:b/>
          <w:bCs/>
          <w:kern w:val="0"/>
          <w:sz w:val="20"/>
          <w:szCs w:val="20"/>
          <w:lang w:eastAsia="es-EC"/>
        </w:rPr>
        <w:t>:</w:t>
      </w:r>
    </w:p>
    <w:p w14:paraId="591618B0" w14:textId="77777777"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Las comunicaciones entre las Partes suscriptoras y derivadas de la ejecución del presente convenio se realizarán por escrito y/o vía correo electrónico con la misma validez legal, para tal efecto las partes fijan las siguientes direcciones:</w:t>
      </w:r>
    </w:p>
    <w:p w14:paraId="2F62780E" w14:textId="410AC2AC" w:rsidR="007E7A05" w:rsidRPr="00E41315" w:rsidRDefault="007E7A05" w:rsidP="00BE66B1">
      <w:pPr>
        <w:jc w:val="both"/>
        <w:rPr>
          <w:rFonts w:ascii="Century Gothic" w:hAnsi="Century Gothic"/>
          <w:b/>
          <w:bCs/>
          <w:kern w:val="0"/>
          <w:sz w:val="20"/>
          <w:szCs w:val="20"/>
          <w:lang w:eastAsia="es-EC"/>
        </w:rPr>
      </w:pPr>
      <w:r w:rsidRPr="00E41315">
        <w:rPr>
          <w:rFonts w:ascii="Century Gothic" w:hAnsi="Century Gothic"/>
          <w:b/>
          <w:bCs/>
          <w:kern w:val="0"/>
          <w:sz w:val="20"/>
          <w:szCs w:val="20"/>
          <w:lang w:eastAsia="es-EC"/>
        </w:rPr>
        <w:t>CLÁUSULA DÉCIMA SÉPTIMA- ACEPTACIÓN</w:t>
      </w:r>
      <w:r w:rsidR="00C431E6" w:rsidRPr="00E41315">
        <w:rPr>
          <w:rFonts w:ascii="Century Gothic" w:hAnsi="Century Gothic"/>
          <w:b/>
          <w:bCs/>
          <w:kern w:val="0"/>
          <w:sz w:val="20"/>
          <w:szCs w:val="20"/>
          <w:lang w:eastAsia="es-EC"/>
        </w:rPr>
        <w:t>:</w:t>
      </w:r>
    </w:p>
    <w:p w14:paraId="6FA48A79" w14:textId="1B119FBA" w:rsidR="007E7A05" w:rsidRPr="00E41315" w:rsidRDefault="007E7A05" w:rsidP="00BE66B1">
      <w:pPr>
        <w:jc w:val="both"/>
        <w:rPr>
          <w:rFonts w:ascii="Century Gothic" w:hAnsi="Century Gothic"/>
          <w:kern w:val="0"/>
          <w:sz w:val="20"/>
          <w:szCs w:val="20"/>
          <w:lang w:eastAsia="es-EC"/>
        </w:rPr>
      </w:pPr>
      <w:r w:rsidRPr="00E41315">
        <w:rPr>
          <w:rFonts w:ascii="Century Gothic" w:hAnsi="Century Gothic"/>
          <w:kern w:val="0"/>
          <w:sz w:val="20"/>
          <w:szCs w:val="20"/>
          <w:lang w:eastAsia="es-EC"/>
        </w:rPr>
        <w:t xml:space="preserve">Las partes, libre y voluntariamente, aceptan el contenido de todas y cada una de las cláusulas del presente Convenio, y se comprometen a su fiel y estricto cumplimiento, en fe de lo cual firman por duplicado en la ciudad de La Joya de los Sachas, a los [DÍA] días del mes de </w:t>
      </w:r>
      <w:r w:rsidR="00804B59">
        <w:rPr>
          <w:rFonts w:ascii="Century Gothic" w:hAnsi="Century Gothic"/>
          <w:kern w:val="0"/>
          <w:sz w:val="20"/>
          <w:szCs w:val="20"/>
          <w:lang w:eastAsia="es-EC"/>
        </w:rPr>
        <w:t>octubre</w:t>
      </w:r>
      <w:r w:rsidRPr="00E41315">
        <w:rPr>
          <w:rFonts w:ascii="Century Gothic" w:hAnsi="Century Gothic"/>
          <w:kern w:val="0"/>
          <w:sz w:val="20"/>
          <w:szCs w:val="20"/>
          <w:lang w:eastAsia="es-EC"/>
        </w:rPr>
        <w:t xml:space="preserve"> del año 2025.</w:t>
      </w:r>
    </w:p>
    <w:p w14:paraId="30A66D56" w14:textId="77777777" w:rsidR="00EB6279" w:rsidRDefault="00EB6279" w:rsidP="00BE66B1">
      <w:pPr>
        <w:jc w:val="both"/>
        <w:rPr>
          <w:rFonts w:ascii="Century Gothic" w:hAnsi="Century Gothic"/>
          <w:sz w:val="20"/>
          <w:szCs w:val="20"/>
        </w:rPr>
      </w:pPr>
    </w:p>
    <w:p w14:paraId="2F1ADDA5" w14:textId="77777777" w:rsidR="00804B59" w:rsidRDefault="00804B59" w:rsidP="00BE66B1">
      <w:pPr>
        <w:jc w:val="both"/>
        <w:rPr>
          <w:rFonts w:ascii="Century Gothic" w:hAnsi="Century Gothic"/>
          <w:sz w:val="20"/>
          <w:szCs w:val="20"/>
        </w:rPr>
      </w:pPr>
    </w:p>
    <w:p w14:paraId="3B772948" w14:textId="77777777" w:rsidR="00804B59" w:rsidRDefault="00804B59" w:rsidP="00BE66B1">
      <w:pPr>
        <w:jc w:val="both"/>
        <w:rPr>
          <w:rFonts w:ascii="Century Gothic" w:hAnsi="Century Gothic"/>
          <w:sz w:val="20"/>
          <w:szCs w:val="20"/>
        </w:rPr>
      </w:pPr>
    </w:p>
    <w:p w14:paraId="379B5B9E" w14:textId="77777777" w:rsidR="00804B59" w:rsidRDefault="00804B59" w:rsidP="00BE66B1">
      <w:pPr>
        <w:jc w:val="both"/>
        <w:rPr>
          <w:rFonts w:ascii="Century Gothic" w:hAnsi="Century Gothic"/>
          <w:sz w:val="20"/>
          <w:szCs w:val="20"/>
        </w:rPr>
      </w:pPr>
    </w:p>
    <w:p w14:paraId="78504264" w14:textId="5E168E98" w:rsidR="00804B59" w:rsidRPr="00804B59" w:rsidRDefault="00804B59" w:rsidP="00804B59">
      <w:pPr>
        <w:jc w:val="center"/>
        <w:rPr>
          <w:rFonts w:ascii="Century Gothic" w:hAnsi="Century Gothic"/>
          <w:kern w:val="0"/>
          <w:sz w:val="16"/>
          <w:szCs w:val="16"/>
          <w:lang w:eastAsia="es-EC"/>
        </w:rPr>
      </w:pPr>
      <w:r w:rsidRPr="00804B59">
        <w:rPr>
          <w:rFonts w:ascii="Century Gothic" w:hAnsi="Century Gothic"/>
          <w:kern w:val="0"/>
          <w:sz w:val="16"/>
          <w:szCs w:val="16"/>
          <w:lang w:eastAsia="es-EC"/>
        </w:rPr>
        <w:t>GOBIERNO AUTÓNOMO DESCENTRALIZADO MUNICIPAL DEL CANTÓN LA JOYA DE LOS SACHAS</w:t>
      </w:r>
    </w:p>
    <w:p w14:paraId="17E8E651" w14:textId="77777777" w:rsidR="00804B59" w:rsidRDefault="00804B59" w:rsidP="00804B59">
      <w:pPr>
        <w:jc w:val="center"/>
        <w:rPr>
          <w:rFonts w:ascii="Century Gothic" w:hAnsi="Century Gothic"/>
          <w:kern w:val="0"/>
          <w:sz w:val="20"/>
          <w:szCs w:val="20"/>
          <w:lang w:eastAsia="es-EC"/>
        </w:rPr>
      </w:pPr>
    </w:p>
    <w:p w14:paraId="3AF05AEC" w14:textId="77777777" w:rsidR="00804B59" w:rsidRDefault="00804B59" w:rsidP="00804B59">
      <w:pPr>
        <w:jc w:val="center"/>
        <w:rPr>
          <w:rFonts w:ascii="Century Gothic" w:hAnsi="Century Gothic"/>
          <w:kern w:val="0"/>
          <w:sz w:val="20"/>
          <w:szCs w:val="20"/>
          <w:lang w:eastAsia="es-EC"/>
        </w:rPr>
      </w:pPr>
    </w:p>
    <w:p w14:paraId="0141B1DD" w14:textId="77777777" w:rsidR="00804B59" w:rsidRDefault="00804B59" w:rsidP="00804B59">
      <w:pPr>
        <w:jc w:val="center"/>
        <w:rPr>
          <w:rFonts w:ascii="Century Gothic" w:hAnsi="Century Gothic"/>
          <w:kern w:val="0"/>
          <w:sz w:val="20"/>
          <w:szCs w:val="20"/>
          <w:lang w:eastAsia="es-EC"/>
        </w:rPr>
      </w:pPr>
    </w:p>
    <w:p w14:paraId="0A5CB30F" w14:textId="60FF8509" w:rsidR="00804B59" w:rsidRDefault="00804B59" w:rsidP="00804B59">
      <w:pPr>
        <w:spacing w:after="0" w:line="240" w:lineRule="atLeast"/>
        <w:jc w:val="center"/>
        <w:rPr>
          <w:rFonts w:ascii="Century Gothic" w:hAnsi="Century Gothic"/>
          <w:kern w:val="0"/>
          <w:sz w:val="20"/>
          <w:szCs w:val="20"/>
          <w:lang w:eastAsia="es-EC"/>
        </w:rPr>
      </w:pPr>
      <w:r w:rsidRPr="00E41315">
        <w:rPr>
          <w:rFonts w:ascii="Century Gothic" w:hAnsi="Century Gothic"/>
          <w:sz w:val="20"/>
          <w:szCs w:val="20"/>
        </w:rPr>
        <w:t>Magister, Liseth Hinojosa, alcaldesa del GADMCJS</w:t>
      </w:r>
      <w:r w:rsidRPr="00E41315">
        <w:rPr>
          <w:rFonts w:ascii="Century Gothic" w:hAnsi="Century Gothic"/>
          <w:kern w:val="0"/>
          <w:sz w:val="20"/>
          <w:szCs w:val="20"/>
          <w:lang w:eastAsia="es-EC"/>
        </w:rPr>
        <w:t>,</w:t>
      </w:r>
    </w:p>
    <w:p w14:paraId="2E7CC5A4" w14:textId="77777777" w:rsidR="00804B59" w:rsidRDefault="00804B59" w:rsidP="00804B59">
      <w:pPr>
        <w:spacing w:after="0" w:line="240" w:lineRule="atLeast"/>
        <w:jc w:val="center"/>
        <w:rPr>
          <w:rFonts w:ascii="Century Gothic" w:hAnsi="Century Gothic"/>
          <w:kern w:val="0"/>
          <w:sz w:val="20"/>
          <w:szCs w:val="20"/>
          <w:lang w:eastAsia="es-EC"/>
        </w:rPr>
      </w:pPr>
      <w:r w:rsidRPr="00E41315">
        <w:rPr>
          <w:rFonts w:ascii="Century Gothic" w:hAnsi="Century Gothic"/>
          <w:kern w:val="0"/>
          <w:sz w:val="20"/>
          <w:szCs w:val="20"/>
          <w:lang w:eastAsia="es-EC"/>
        </w:rPr>
        <w:t>Alcaldesa</w:t>
      </w:r>
    </w:p>
    <w:p w14:paraId="1BCA1D63" w14:textId="77777777" w:rsidR="00804B59" w:rsidRDefault="00804B59" w:rsidP="00804B59">
      <w:pPr>
        <w:jc w:val="center"/>
        <w:rPr>
          <w:rFonts w:ascii="Century Gothic" w:hAnsi="Century Gothic"/>
          <w:kern w:val="0"/>
          <w:sz w:val="20"/>
          <w:szCs w:val="20"/>
          <w:lang w:eastAsia="es-EC"/>
        </w:rPr>
      </w:pPr>
    </w:p>
    <w:p w14:paraId="65C32EBB" w14:textId="77777777" w:rsidR="00804B59" w:rsidRDefault="00804B59" w:rsidP="00804B59">
      <w:pPr>
        <w:jc w:val="center"/>
        <w:rPr>
          <w:rFonts w:ascii="Century Gothic" w:hAnsi="Century Gothic"/>
          <w:kern w:val="0"/>
          <w:sz w:val="20"/>
          <w:szCs w:val="20"/>
          <w:lang w:eastAsia="es-EC"/>
        </w:rPr>
      </w:pPr>
    </w:p>
    <w:p w14:paraId="6051C50D" w14:textId="77777777" w:rsidR="00804B59" w:rsidRDefault="00804B59" w:rsidP="00804B59">
      <w:pPr>
        <w:jc w:val="center"/>
        <w:rPr>
          <w:rFonts w:ascii="Century Gothic" w:hAnsi="Century Gothic"/>
          <w:kern w:val="0"/>
          <w:sz w:val="20"/>
          <w:szCs w:val="20"/>
          <w:lang w:eastAsia="es-EC"/>
        </w:rPr>
      </w:pPr>
    </w:p>
    <w:p w14:paraId="1C8042B3" w14:textId="77777777" w:rsidR="00804B59" w:rsidRDefault="00804B59" w:rsidP="00804B59">
      <w:pPr>
        <w:jc w:val="center"/>
        <w:rPr>
          <w:rFonts w:ascii="Century Gothic" w:hAnsi="Century Gothic"/>
          <w:kern w:val="0"/>
          <w:sz w:val="20"/>
          <w:szCs w:val="20"/>
          <w:lang w:eastAsia="es-EC"/>
        </w:rPr>
      </w:pPr>
    </w:p>
    <w:p w14:paraId="3741C9EE" w14:textId="3C0164AE" w:rsidR="00804B59" w:rsidRDefault="00804B59" w:rsidP="00804B59">
      <w:pPr>
        <w:jc w:val="center"/>
        <w:rPr>
          <w:rFonts w:ascii="Century Gothic" w:hAnsi="Century Gothic"/>
          <w:kern w:val="0"/>
          <w:sz w:val="20"/>
          <w:szCs w:val="20"/>
          <w:lang w:eastAsia="es-EC"/>
        </w:rPr>
      </w:pPr>
      <w:r w:rsidRPr="00E41315">
        <w:rPr>
          <w:rFonts w:ascii="Century Gothic" w:hAnsi="Century Gothic"/>
          <w:kern w:val="0"/>
          <w:sz w:val="20"/>
          <w:szCs w:val="20"/>
          <w:lang w:eastAsia="es-EC"/>
        </w:rPr>
        <w:t>ASOCIACIÓN "PAKARICHIK MAMAKUNA" DE SACHA</w:t>
      </w:r>
    </w:p>
    <w:p w14:paraId="7F5E24E3" w14:textId="77777777" w:rsidR="00804B59" w:rsidRDefault="00804B59" w:rsidP="00804B59">
      <w:pPr>
        <w:spacing w:after="0" w:line="240" w:lineRule="atLeast"/>
        <w:jc w:val="center"/>
        <w:rPr>
          <w:rFonts w:ascii="Century Gothic" w:hAnsi="Century Gothic"/>
          <w:kern w:val="0"/>
          <w:sz w:val="20"/>
          <w:szCs w:val="20"/>
          <w:lang w:eastAsia="es-EC"/>
        </w:rPr>
      </w:pPr>
    </w:p>
    <w:p w14:paraId="50154F1D" w14:textId="77777777" w:rsidR="00804B59" w:rsidRDefault="00804B59" w:rsidP="00804B59">
      <w:pPr>
        <w:spacing w:after="0" w:line="240" w:lineRule="atLeast"/>
        <w:jc w:val="center"/>
        <w:rPr>
          <w:rFonts w:ascii="Century Gothic" w:hAnsi="Century Gothic"/>
          <w:kern w:val="0"/>
          <w:sz w:val="20"/>
          <w:szCs w:val="20"/>
          <w:lang w:eastAsia="es-EC"/>
        </w:rPr>
      </w:pPr>
    </w:p>
    <w:p w14:paraId="0B727E70" w14:textId="77777777" w:rsidR="00804B59" w:rsidRDefault="00804B59" w:rsidP="00804B59">
      <w:pPr>
        <w:spacing w:after="0" w:line="240" w:lineRule="atLeast"/>
        <w:jc w:val="center"/>
        <w:rPr>
          <w:rFonts w:ascii="Century Gothic" w:hAnsi="Century Gothic"/>
          <w:kern w:val="0"/>
          <w:sz w:val="20"/>
          <w:szCs w:val="20"/>
          <w:lang w:eastAsia="es-EC"/>
        </w:rPr>
      </w:pPr>
    </w:p>
    <w:p w14:paraId="5B91F1A0" w14:textId="77777777" w:rsidR="00804B59" w:rsidRDefault="00804B59" w:rsidP="00804B59">
      <w:pPr>
        <w:spacing w:after="0" w:line="240" w:lineRule="atLeast"/>
        <w:jc w:val="center"/>
        <w:rPr>
          <w:rFonts w:ascii="Century Gothic" w:hAnsi="Century Gothic"/>
          <w:kern w:val="0"/>
          <w:sz w:val="20"/>
          <w:szCs w:val="20"/>
          <w:lang w:eastAsia="es-EC"/>
        </w:rPr>
      </w:pPr>
    </w:p>
    <w:p w14:paraId="09CAE727" w14:textId="4269453C" w:rsidR="00804B59" w:rsidRDefault="00804B59" w:rsidP="00804B59">
      <w:pPr>
        <w:spacing w:after="0" w:line="240" w:lineRule="atLeast"/>
        <w:jc w:val="center"/>
        <w:rPr>
          <w:rFonts w:ascii="Century Gothic" w:hAnsi="Century Gothic"/>
          <w:kern w:val="0"/>
          <w:sz w:val="20"/>
          <w:szCs w:val="20"/>
          <w:lang w:eastAsia="es-EC"/>
        </w:rPr>
      </w:pPr>
      <w:r>
        <w:rPr>
          <w:rFonts w:ascii="Century Gothic" w:hAnsi="Century Gothic"/>
          <w:kern w:val="0"/>
          <w:sz w:val="20"/>
          <w:szCs w:val="20"/>
          <w:lang w:eastAsia="es-EC"/>
        </w:rPr>
        <w:t xml:space="preserve">Sra. </w:t>
      </w:r>
      <w:r w:rsidRPr="00E41315">
        <w:rPr>
          <w:rFonts w:ascii="Century Gothic" w:hAnsi="Century Gothic"/>
          <w:kern w:val="0"/>
          <w:sz w:val="20"/>
          <w:szCs w:val="20"/>
          <w:lang w:eastAsia="es-EC"/>
        </w:rPr>
        <w:t>Gloria Grefa</w:t>
      </w:r>
    </w:p>
    <w:p w14:paraId="44D396DE" w14:textId="22DCC053" w:rsidR="00804B59" w:rsidRPr="00E41315" w:rsidRDefault="00804B59" w:rsidP="00804B59">
      <w:pPr>
        <w:spacing w:after="0" w:line="240" w:lineRule="atLeast"/>
        <w:jc w:val="center"/>
        <w:rPr>
          <w:rFonts w:ascii="Century Gothic" w:hAnsi="Century Gothic"/>
          <w:sz w:val="20"/>
          <w:szCs w:val="20"/>
        </w:rPr>
      </w:pPr>
      <w:r w:rsidRPr="00E41315">
        <w:rPr>
          <w:rFonts w:ascii="Century Gothic" w:hAnsi="Century Gothic"/>
          <w:kern w:val="0"/>
          <w:sz w:val="20"/>
          <w:szCs w:val="20"/>
          <w:lang w:eastAsia="es-EC"/>
        </w:rPr>
        <w:t>Representante Legal</w:t>
      </w:r>
    </w:p>
    <w:sectPr w:rsidR="00804B59" w:rsidRPr="00E41315">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CACC5" w14:textId="77777777" w:rsidR="00C10F11" w:rsidRDefault="00C10F11" w:rsidP="0049294F">
      <w:pPr>
        <w:spacing w:after="0" w:line="240" w:lineRule="auto"/>
      </w:pPr>
      <w:r>
        <w:separator/>
      </w:r>
    </w:p>
  </w:endnote>
  <w:endnote w:type="continuationSeparator" w:id="0">
    <w:p w14:paraId="11F40B34" w14:textId="77777777" w:rsidR="00C10F11" w:rsidRDefault="00C10F11" w:rsidP="004929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D7694" w14:textId="77777777" w:rsidR="00C10F11" w:rsidRDefault="00C10F11" w:rsidP="0049294F">
      <w:pPr>
        <w:spacing w:after="0" w:line="240" w:lineRule="auto"/>
      </w:pPr>
      <w:r>
        <w:separator/>
      </w:r>
    </w:p>
  </w:footnote>
  <w:footnote w:type="continuationSeparator" w:id="0">
    <w:p w14:paraId="59BBE902" w14:textId="77777777" w:rsidR="00C10F11" w:rsidRDefault="00C10F11" w:rsidP="004929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1E489" w14:textId="4B3244A7" w:rsidR="0049294F" w:rsidRPr="00F035D5" w:rsidRDefault="0049294F" w:rsidP="0049294F"/>
  <w:p w14:paraId="3D0BABFA" w14:textId="77777777" w:rsidR="0049294F" w:rsidRDefault="0049294F" w:rsidP="0049294F">
    <w:r>
      <w:rPr>
        <w:noProof/>
        <w:lang w:eastAsia="es-EC"/>
      </w:rPr>
      <w:drawing>
        <wp:anchor distT="0" distB="0" distL="114300" distR="114300" simplePos="0" relativeHeight="251659264" behindDoc="1" locked="0" layoutInCell="1" allowOverlap="1" wp14:anchorId="03D15A02" wp14:editId="1176BD72">
          <wp:simplePos x="0" y="0"/>
          <wp:positionH relativeFrom="page">
            <wp:align>left</wp:align>
          </wp:positionH>
          <wp:positionV relativeFrom="page">
            <wp:posOffset>20320</wp:posOffset>
          </wp:positionV>
          <wp:extent cx="7560000" cy="10685239"/>
          <wp:effectExtent l="0" t="0" r="3175" b="190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p w14:paraId="4AD8B187" w14:textId="6A0E8C89" w:rsidR="0049294F" w:rsidRDefault="0049294F">
    <w:pPr>
      <w:pStyle w:val="Encabezado"/>
    </w:pPr>
  </w:p>
  <w:p w14:paraId="32C291FB" w14:textId="77777777" w:rsidR="0049294F" w:rsidRDefault="0049294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83573"/>
    <w:multiLevelType w:val="multilevel"/>
    <w:tmpl w:val="70943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002653"/>
    <w:multiLevelType w:val="multilevel"/>
    <w:tmpl w:val="D02E3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4C6CAC"/>
    <w:multiLevelType w:val="multilevel"/>
    <w:tmpl w:val="A8D68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45593E"/>
    <w:multiLevelType w:val="multilevel"/>
    <w:tmpl w:val="AAE4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2B6722"/>
    <w:multiLevelType w:val="multilevel"/>
    <w:tmpl w:val="9F0C0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5386952">
    <w:abstractNumId w:val="4"/>
  </w:num>
  <w:num w:numId="2" w16cid:durableId="46031965">
    <w:abstractNumId w:val="0"/>
  </w:num>
  <w:num w:numId="3" w16cid:durableId="954944130">
    <w:abstractNumId w:val="3"/>
  </w:num>
  <w:num w:numId="4" w16cid:durableId="1739746104">
    <w:abstractNumId w:val="2"/>
  </w:num>
  <w:num w:numId="5" w16cid:durableId="930626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A05"/>
    <w:rsid w:val="003B16AA"/>
    <w:rsid w:val="0049294F"/>
    <w:rsid w:val="00552531"/>
    <w:rsid w:val="007E7A05"/>
    <w:rsid w:val="00804B59"/>
    <w:rsid w:val="009A22E2"/>
    <w:rsid w:val="00BE66B1"/>
    <w:rsid w:val="00C10F11"/>
    <w:rsid w:val="00C431E6"/>
    <w:rsid w:val="00E41315"/>
    <w:rsid w:val="00EB627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DA630"/>
  <w15:chartTrackingRefBased/>
  <w15:docId w15:val="{97DF1BCF-3B54-457D-8589-5213170C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7E7A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C"/>
      <w14:ligatures w14:val="none"/>
    </w:rPr>
  </w:style>
  <w:style w:type="paragraph" w:styleId="Ttulo2">
    <w:name w:val="heading 2"/>
    <w:basedOn w:val="Normal"/>
    <w:link w:val="Ttulo2Car"/>
    <w:uiPriority w:val="9"/>
    <w:qFormat/>
    <w:rsid w:val="007E7A05"/>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C"/>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E7A05"/>
    <w:rPr>
      <w:rFonts w:ascii="Times New Roman" w:eastAsia="Times New Roman" w:hAnsi="Times New Roman" w:cs="Times New Roman"/>
      <w:b/>
      <w:bCs/>
      <w:kern w:val="36"/>
      <w:sz w:val="48"/>
      <w:szCs w:val="48"/>
      <w:lang w:eastAsia="es-EC"/>
      <w14:ligatures w14:val="none"/>
    </w:rPr>
  </w:style>
  <w:style w:type="character" w:customStyle="1" w:styleId="Ttulo2Car">
    <w:name w:val="Título 2 Car"/>
    <w:basedOn w:val="Fuentedeprrafopredeter"/>
    <w:link w:val="Ttulo2"/>
    <w:uiPriority w:val="9"/>
    <w:rsid w:val="007E7A05"/>
    <w:rPr>
      <w:rFonts w:ascii="Times New Roman" w:eastAsia="Times New Roman" w:hAnsi="Times New Roman" w:cs="Times New Roman"/>
      <w:b/>
      <w:bCs/>
      <w:kern w:val="0"/>
      <w:sz w:val="36"/>
      <w:szCs w:val="36"/>
      <w:lang w:eastAsia="es-EC"/>
      <w14:ligatures w14:val="none"/>
    </w:rPr>
  </w:style>
  <w:style w:type="paragraph" w:styleId="NormalWeb">
    <w:name w:val="Normal (Web)"/>
    <w:basedOn w:val="Normal"/>
    <w:uiPriority w:val="99"/>
    <w:semiHidden/>
    <w:unhideWhenUsed/>
    <w:rsid w:val="007E7A05"/>
    <w:pPr>
      <w:spacing w:before="100" w:beforeAutospacing="1" w:after="100" w:afterAutospacing="1" w:line="240" w:lineRule="auto"/>
    </w:pPr>
    <w:rPr>
      <w:rFonts w:ascii="Times New Roman" w:eastAsia="Times New Roman" w:hAnsi="Times New Roman" w:cs="Times New Roman"/>
      <w:kern w:val="0"/>
      <w:sz w:val="24"/>
      <w:szCs w:val="24"/>
      <w:lang w:eastAsia="es-EC"/>
      <w14:ligatures w14:val="none"/>
    </w:rPr>
  </w:style>
  <w:style w:type="character" w:customStyle="1" w:styleId="export-sheets-button">
    <w:name w:val="export-sheets-button"/>
    <w:basedOn w:val="Fuentedeprrafopredeter"/>
    <w:rsid w:val="007E7A05"/>
  </w:style>
  <w:style w:type="table" w:customStyle="1" w:styleId="TableNormal">
    <w:name w:val="Table Normal"/>
    <w:uiPriority w:val="2"/>
    <w:semiHidden/>
    <w:unhideWhenUsed/>
    <w:qFormat/>
    <w:rsid w:val="0049294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Encabezado">
    <w:name w:val="header"/>
    <w:basedOn w:val="Normal"/>
    <w:link w:val="EncabezadoCar"/>
    <w:uiPriority w:val="99"/>
    <w:unhideWhenUsed/>
    <w:rsid w:val="0049294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9294F"/>
  </w:style>
  <w:style w:type="paragraph" w:styleId="Piedepgina">
    <w:name w:val="footer"/>
    <w:basedOn w:val="Normal"/>
    <w:link w:val="PiedepginaCar"/>
    <w:uiPriority w:val="99"/>
    <w:unhideWhenUsed/>
    <w:rsid w:val="0049294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929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331901">
      <w:bodyDiv w:val="1"/>
      <w:marLeft w:val="0"/>
      <w:marRight w:val="0"/>
      <w:marTop w:val="0"/>
      <w:marBottom w:val="0"/>
      <w:divBdr>
        <w:top w:val="none" w:sz="0" w:space="0" w:color="auto"/>
        <w:left w:val="none" w:sz="0" w:space="0" w:color="auto"/>
        <w:bottom w:val="none" w:sz="0" w:space="0" w:color="auto"/>
        <w:right w:val="none" w:sz="0" w:space="0" w:color="auto"/>
      </w:divBdr>
      <w:divsChild>
        <w:div w:id="282426947">
          <w:marLeft w:val="0"/>
          <w:marRight w:val="0"/>
          <w:marTop w:val="0"/>
          <w:marBottom w:val="0"/>
          <w:divBdr>
            <w:top w:val="none" w:sz="0" w:space="0" w:color="auto"/>
            <w:left w:val="none" w:sz="0" w:space="0" w:color="auto"/>
            <w:bottom w:val="none" w:sz="0" w:space="0" w:color="auto"/>
            <w:right w:val="none" w:sz="0" w:space="0" w:color="auto"/>
          </w:divBdr>
          <w:divsChild>
            <w:div w:id="1734231259">
              <w:marLeft w:val="0"/>
              <w:marRight w:val="0"/>
              <w:marTop w:val="0"/>
              <w:marBottom w:val="0"/>
              <w:divBdr>
                <w:top w:val="none" w:sz="0" w:space="0" w:color="auto"/>
                <w:left w:val="none" w:sz="0" w:space="0" w:color="auto"/>
                <w:bottom w:val="none" w:sz="0" w:space="0" w:color="auto"/>
                <w:right w:val="none" w:sz="0" w:space="0" w:color="auto"/>
              </w:divBdr>
              <w:divsChild>
                <w:div w:id="1150175570">
                  <w:marLeft w:val="0"/>
                  <w:marRight w:val="0"/>
                  <w:marTop w:val="0"/>
                  <w:marBottom w:val="0"/>
                  <w:divBdr>
                    <w:top w:val="none" w:sz="0" w:space="0" w:color="auto"/>
                    <w:left w:val="none" w:sz="0" w:space="0" w:color="auto"/>
                    <w:bottom w:val="none" w:sz="0" w:space="0" w:color="auto"/>
                    <w:right w:val="none" w:sz="0" w:space="0" w:color="auto"/>
                  </w:divBdr>
                  <w:divsChild>
                    <w:div w:id="581838803">
                      <w:marLeft w:val="0"/>
                      <w:marRight w:val="0"/>
                      <w:marTop w:val="0"/>
                      <w:marBottom w:val="0"/>
                      <w:divBdr>
                        <w:top w:val="none" w:sz="0" w:space="0" w:color="auto"/>
                        <w:left w:val="none" w:sz="0" w:space="0" w:color="auto"/>
                        <w:bottom w:val="none" w:sz="0" w:space="0" w:color="auto"/>
                        <w:right w:val="none" w:sz="0" w:space="0" w:color="auto"/>
                      </w:divBdr>
                    </w:div>
                    <w:div w:id="16688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583318">
          <w:marLeft w:val="0"/>
          <w:marRight w:val="0"/>
          <w:marTop w:val="0"/>
          <w:marBottom w:val="0"/>
          <w:divBdr>
            <w:top w:val="none" w:sz="0" w:space="0" w:color="auto"/>
            <w:left w:val="none" w:sz="0" w:space="0" w:color="auto"/>
            <w:bottom w:val="none" w:sz="0" w:space="0" w:color="auto"/>
            <w:right w:val="none" w:sz="0" w:space="0" w:color="auto"/>
          </w:divBdr>
          <w:divsChild>
            <w:div w:id="1531794286">
              <w:marLeft w:val="0"/>
              <w:marRight w:val="0"/>
              <w:marTop w:val="0"/>
              <w:marBottom w:val="0"/>
              <w:divBdr>
                <w:top w:val="none" w:sz="0" w:space="0" w:color="auto"/>
                <w:left w:val="none" w:sz="0" w:space="0" w:color="auto"/>
                <w:bottom w:val="none" w:sz="0" w:space="0" w:color="auto"/>
                <w:right w:val="none" w:sz="0" w:space="0" w:color="auto"/>
              </w:divBdr>
              <w:divsChild>
                <w:div w:id="1851141589">
                  <w:marLeft w:val="0"/>
                  <w:marRight w:val="0"/>
                  <w:marTop w:val="0"/>
                  <w:marBottom w:val="0"/>
                  <w:divBdr>
                    <w:top w:val="none" w:sz="0" w:space="0" w:color="auto"/>
                    <w:left w:val="none" w:sz="0" w:space="0" w:color="auto"/>
                    <w:bottom w:val="none" w:sz="0" w:space="0" w:color="auto"/>
                    <w:right w:val="none" w:sz="0" w:space="0" w:color="auto"/>
                  </w:divBdr>
                  <w:divsChild>
                    <w:div w:id="1774518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17</Pages>
  <Words>8236</Words>
  <Characters>45303</Characters>
  <Application>Microsoft Office Word</Application>
  <DocSecurity>0</DocSecurity>
  <Lines>377</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Procurador</dc:creator>
  <cp:keywords/>
  <dc:description/>
  <cp:lastModifiedBy>Procurador</cp:lastModifiedBy>
  <cp:revision>2</cp:revision>
  <dcterms:created xsi:type="dcterms:W3CDTF">2025-09-29T21:12:00Z</dcterms:created>
  <dcterms:modified xsi:type="dcterms:W3CDTF">2025-09-30T22:16:00Z</dcterms:modified>
</cp:coreProperties>
</file>